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AFAF" w14:textId="77777777" w:rsidR="00F63DB9" w:rsidRDefault="00000000">
      <w:pPr>
        <w:spacing w:after="480" w:line="276" w:lineRule="auto"/>
      </w:pPr>
      <w:r>
        <w:rPr>
          <w:sz w:val="24"/>
          <w:szCs w:val="24"/>
        </w:rPr>
        <w:t xml:space="preserve"> </w:t>
      </w:r>
    </w:p>
    <w:p w14:paraId="256EB879" w14:textId="77777777" w:rsidR="00F63DB9" w:rsidRDefault="00000000">
      <w:pPr>
        <w:spacing w:after="80"/>
        <w:jc w:val="center"/>
      </w:pPr>
      <w:r>
        <w:rPr>
          <w:b/>
          <w:bCs/>
          <w:color w:val="0A1628"/>
          <w:sz w:val="96"/>
          <w:szCs w:val="96"/>
        </w:rPr>
        <w:t>RWALS™</w:t>
      </w:r>
    </w:p>
    <w:p w14:paraId="23A7C304" w14:textId="77777777" w:rsidR="00F63DB9" w:rsidRDefault="00000000">
      <w:pPr>
        <w:spacing w:after="240"/>
        <w:jc w:val="center"/>
      </w:pPr>
      <w:r>
        <w:rPr>
          <w:b/>
          <w:bCs/>
          <w:color w:val="2563EB"/>
          <w:sz w:val="40"/>
          <w:szCs w:val="40"/>
        </w:rPr>
        <w:t>RWA Liquidity Score</w:t>
      </w:r>
    </w:p>
    <w:p w14:paraId="75F127BF" w14:textId="77777777" w:rsidR="00F63DB9" w:rsidRDefault="00000000">
      <w:pPr>
        <w:pBdr>
          <w:bottom w:val="single" w:sz="6" w:space="4" w:color="2563EB"/>
        </w:pBdr>
        <w:spacing w:before="60" w:after="60" w:line="276" w:lineRule="auto"/>
      </w:pPr>
      <w:r>
        <w:rPr>
          <w:sz w:val="24"/>
          <w:szCs w:val="24"/>
        </w:rPr>
        <w:t xml:space="preserve"> </w:t>
      </w:r>
    </w:p>
    <w:p w14:paraId="3F8ECC8A" w14:textId="77777777" w:rsidR="00F63DB9" w:rsidRDefault="00000000">
      <w:pPr>
        <w:spacing w:after="160" w:line="276" w:lineRule="auto"/>
      </w:pPr>
      <w:r>
        <w:rPr>
          <w:sz w:val="24"/>
          <w:szCs w:val="24"/>
        </w:rPr>
        <w:t xml:space="preserve"> </w:t>
      </w:r>
    </w:p>
    <w:p w14:paraId="6449913D" w14:textId="77777777" w:rsidR="00F63DB9" w:rsidRDefault="00000000">
      <w:pPr>
        <w:spacing w:after="120"/>
        <w:jc w:val="center"/>
      </w:pPr>
      <w:r>
        <w:rPr>
          <w:b/>
          <w:bCs/>
          <w:color w:val="1A3A6B"/>
          <w:sz w:val="30"/>
          <w:szCs w:val="30"/>
        </w:rPr>
        <w:t>The First Standardized Liquidity Intelligence Framework</w:t>
      </w:r>
    </w:p>
    <w:p w14:paraId="7555B975" w14:textId="77777777" w:rsidR="00F63DB9" w:rsidRDefault="00000000">
      <w:pPr>
        <w:spacing w:after="120"/>
        <w:jc w:val="center"/>
      </w:pPr>
      <w:r>
        <w:rPr>
          <w:b/>
          <w:bCs/>
          <w:color w:val="1A3A6B"/>
          <w:sz w:val="30"/>
          <w:szCs w:val="30"/>
        </w:rPr>
        <w:t>for Tokenized Real-World Assets</w:t>
      </w:r>
    </w:p>
    <w:p w14:paraId="74B8B7B6" w14:textId="77777777" w:rsidR="00F63DB9" w:rsidRDefault="00000000">
      <w:pPr>
        <w:spacing w:after="240" w:line="276" w:lineRule="auto"/>
      </w:pPr>
      <w:r>
        <w:rPr>
          <w:sz w:val="24"/>
          <w:szCs w:val="24"/>
        </w:rPr>
        <w:t xml:space="preserve"> </w:t>
      </w:r>
    </w:p>
    <w:p w14:paraId="6D6CA4D8" w14:textId="77777777" w:rsidR="00F63DB9" w:rsidRDefault="00000000">
      <w:pPr>
        <w:spacing w:after="80"/>
        <w:jc w:val="center"/>
      </w:pPr>
      <w:r>
        <w:rPr>
          <w:b/>
          <w:bCs/>
          <w:color w:val="64748B"/>
        </w:rPr>
        <w:t>WHITE PAPER — VERSION 1.0</w:t>
      </w:r>
    </w:p>
    <w:p w14:paraId="7BFCE9AD" w14:textId="77777777" w:rsidR="00F63DB9" w:rsidRDefault="00000000">
      <w:pPr>
        <w:spacing w:after="80"/>
        <w:jc w:val="center"/>
      </w:pPr>
      <w:r>
        <w:rPr>
          <w:color w:val="64748B"/>
        </w:rPr>
        <w:t>May 2025</w:t>
      </w:r>
    </w:p>
    <w:p w14:paraId="309D91C0" w14:textId="77777777" w:rsidR="00F63DB9" w:rsidRDefault="00000000">
      <w:pPr>
        <w:spacing w:after="80"/>
        <w:jc w:val="center"/>
      </w:pPr>
      <w:proofErr w:type="gramStart"/>
      <w:r>
        <w:rPr>
          <w:color w:val="2563EB"/>
        </w:rPr>
        <w:t>rwals.io  •</w:t>
      </w:r>
      <w:proofErr w:type="gramEnd"/>
      <w:r>
        <w:rPr>
          <w:color w:val="2563EB"/>
        </w:rPr>
        <w:t xml:space="preserve">  rwals.org</w:t>
      </w:r>
    </w:p>
    <w:p w14:paraId="27ED4EFD" w14:textId="77777777" w:rsidR="00F63DB9" w:rsidRDefault="00000000">
      <w:pPr>
        <w:spacing w:after="400" w:line="276" w:lineRule="auto"/>
      </w:pPr>
      <w:r>
        <w:rPr>
          <w:sz w:val="24"/>
          <w:szCs w:val="24"/>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63DB9" w14:paraId="412766EF" w14:textId="77777777">
        <w:tblPrEx>
          <w:tblCellMar>
            <w:top w:w="0" w:type="dxa"/>
            <w:bottom w:w="0" w:type="dxa"/>
          </w:tblCellMar>
        </w:tblPrEx>
        <w:tc>
          <w:tcPr>
            <w:tcW w:w="9360" w:type="dxa"/>
            <w:tcBorders>
              <w:top w:val="single" w:sz="1" w:space="0" w:color="2563EB"/>
              <w:left w:val="single" w:sz="12" w:space="0" w:color="2563EB"/>
              <w:bottom w:val="single" w:sz="1" w:space="0" w:color="2563EB"/>
            </w:tcBorders>
            <w:shd w:val="clear" w:color="auto" w:fill="EFF6FF"/>
            <w:tcMar>
              <w:top w:w="160" w:type="dxa"/>
              <w:left w:w="240" w:type="dxa"/>
              <w:bottom w:w="160" w:type="dxa"/>
              <w:right w:w="240" w:type="dxa"/>
            </w:tcMar>
          </w:tcPr>
          <w:p w14:paraId="55FC0A63" w14:textId="77777777" w:rsidR="00F63DB9" w:rsidRDefault="00000000">
            <w:pPr>
              <w:spacing w:line="300" w:lineRule="auto"/>
            </w:pPr>
            <w:r>
              <w:rPr>
                <w:color w:val="0A1628"/>
              </w:rPr>
              <w:t>"In 2002, FINRA launched TRACE and for the first time, bond secondary market prices became visible. Before TRACE, bond market transparency was zero. RWA secondary markets are pre-TRACE bonds. This is that moment."</w:t>
            </w:r>
          </w:p>
        </w:tc>
      </w:tr>
    </w:tbl>
    <w:p w14:paraId="1FA4B90A" w14:textId="77777777" w:rsidR="00F63DB9" w:rsidRDefault="00000000">
      <w:pPr>
        <w:spacing w:after="200" w:line="276" w:lineRule="auto"/>
      </w:pPr>
      <w:r>
        <w:rPr>
          <w:sz w:val="24"/>
          <w:szCs w:val="24"/>
        </w:rPr>
        <w:t xml:space="preserve"> </w:t>
      </w:r>
    </w:p>
    <w:p w14:paraId="0D5B82C9" w14:textId="77777777" w:rsidR="00F63DB9" w:rsidRDefault="00000000">
      <w:pPr>
        <w:spacing w:after="40"/>
        <w:jc w:val="center"/>
      </w:pPr>
      <w:r>
        <w:rPr>
          <w:b/>
          <w:bCs/>
          <w:i/>
          <w:iCs/>
          <w:color w:val="0A1628"/>
          <w:sz w:val="26"/>
          <w:szCs w:val="26"/>
        </w:rPr>
        <w:t>Know your exit before you enter.</w:t>
      </w:r>
    </w:p>
    <w:p w14:paraId="0AB51DCF" w14:textId="77777777" w:rsidR="00F63DB9" w:rsidRDefault="00000000">
      <w:r>
        <w:br w:type="page"/>
      </w:r>
    </w:p>
    <w:p w14:paraId="614537EF" w14:textId="77777777" w:rsidR="00F63DB9" w:rsidRDefault="00000000">
      <w:pPr>
        <w:pStyle w:val="Heading2"/>
        <w:pBdr>
          <w:bottom w:val="single" w:sz="4" w:space="4" w:color="CBD5E1"/>
        </w:pBdr>
      </w:pPr>
      <w:r>
        <w:lastRenderedPageBreak/>
        <w:t>Important Notices</w:t>
      </w:r>
    </w:p>
    <w:p w14:paraId="377FAC55" w14:textId="77777777" w:rsidR="00F63DB9" w:rsidRDefault="00000000">
      <w:pPr>
        <w:spacing w:before="60" w:after="120" w:line="320" w:lineRule="auto"/>
      </w:pPr>
      <w:r>
        <w:t>This white paper is published for informational, educational, and industry review purposes only. RWALS scores are not investment advice, legal advice, or financial recommendations. RWALS scores reflect publicly observable market structure data and are subject to revision. Past liquidity conditions are not indicative of future conditions. RWALS LLC makes no representation as to the completeness or accuracy of scores for any specific asset.</w:t>
      </w:r>
    </w:p>
    <w:p w14:paraId="380310EC" w14:textId="77777777" w:rsidR="00F63DB9" w:rsidRDefault="00000000">
      <w:pPr>
        <w:spacing w:before="60" w:after="120" w:line="320" w:lineRule="auto"/>
      </w:pPr>
      <w:r>
        <w:t xml:space="preserve">Participation in any tokenized asset carries risk including but not limited </w:t>
      </w:r>
      <w:proofErr w:type="gramStart"/>
      <w:r>
        <w:t>to:</w:t>
      </w:r>
      <w:proofErr w:type="gramEnd"/>
      <w:r>
        <w:t xml:space="preserve"> total loss of principal, platform failure, regulatory change, smart contract vulnerabilities, and complete absence of secondary market liquidity. Investors should conduct independent due diligence and consult qualified advisors before making any investment decision.</w:t>
      </w:r>
    </w:p>
    <w:p w14:paraId="68ACF19E" w14:textId="77777777" w:rsidR="00F63DB9" w:rsidRDefault="00000000">
      <w:pPr>
        <w:spacing w:before="60" w:after="120" w:line="320" w:lineRule="auto"/>
      </w:pPr>
      <w:r>
        <w:t xml:space="preserve">The RWALS™ mark and methodology are proprietary. The framework is published under open review for industry </w:t>
      </w:r>
      <w:proofErr w:type="gramStart"/>
      <w:r>
        <w:t>comment</w:t>
      </w:r>
      <w:proofErr w:type="gramEnd"/>
      <w:r>
        <w:t>. All rights reserved.</w:t>
      </w:r>
    </w:p>
    <w:p w14:paraId="4DBE29F7" w14:textId="77777777" w:rsidR="00F63DB9" w:rsidRDefault="00000000">
      <w:r>
        <w:br w:type="page"/>
      </w:r>
    </w:p>
    <w:p w14:paraId="135CD455" w14:textId="77777777" w:rsidR="00F63DB9" w:rsidRDefault="00000000">
      <w:pPr>
        <w:pStyle w:val="Heading1"/>
      </w:pPr>
      <w:r>
        <w:lastRenderedPageBreak/>
        <w:t>Executive Summary</w:t>
      </w:r>
    </w:p>
    <w:p w14:paraId="6B4A6E0F" w14:textId="77777777" w:rsidR="00F63DB9" w:rsidRDefault="00000000">
      <w:pPr>
        <w:spacing w:before="60" w:after="120" w:line="320" w:lineRule="auto"/>
      </w:pPr>
      <w:r>
        <w:t>The tokenized real-world asset (RWA) market has reached $30 billion in distributed value across 34 blockchain networks and 5,000+ individual instruments as of Q1 2025. Institutional capital is flowing in at an accelerating pace, with projections suggesting a $2 to $16 trillion market by 2030 across multiple scenarios. BlackRock, Franklin Templeton, Fidelity, and JPMorgan have all launched tokenized products.</w:t>
      </w:r>
    </w:p>
    <w:p w14:paraId="216D2399" w14:textId="77777777" w:rsidR="00F63DB9" w:rsidRDefault="00000000">
      <w:pPr>
        <w:spacing w:before="60" w:after="120" w:line="320" w:lineRule="auto"/>
      </w:pPr>
      <w:r>
        <w:t xml:space="preserve">Yet a catastrophic infrastructure gap </w:t>
      </w:r>
      <w:proofErr w:type="gramStart"/>
      <w:r>
        <w:t>persists:</w:t>
      </w:r>
      <w:proofErr w:type="gramEnd"/>
      <w:r>
        <w:t xml:space="preserve"> there is no standardized measure of secondary market liquidity for any tokenized real-world asset. Anywhere. </w:t>
      </w:r>
      <w:proofErr w:type="gramStart"/>
      <w:r>
        <w:t>At all</w:t>
      </w:r>
      <w:proofErr w:type="gramEnd"/>
      <w:r>
        <w:t>.</w:t>
      </w:r>
    </w:p>
    <w:p w14:paraId="72FB58A8" w14:textId="77777777" w:rsidR="00F63DB9" w:rsidRDefault="00000000">
      <w:pPr>
        <w:spacing w:before="60" w:after="120" w:line="320" w:lineRule="auto"/>
      </w:pPr>
      <w:r>
        <w:t>An allocator deploying $10 million into a tokenized private credit pool cannot determine, with any precision: how long it would take to exit the position, whether a secondary buyer would exist, at what discount to NAV they would need to sell, or what the probability is of a full-term lock-in.</w:t>
      </w:r>
    </w:p>
    <w:p w14:paraId="2F850816" w14:textId="77777777" w:rsidR="00F63DB9" w:rsidRDefault="00000000">
      <w:pPr>
        <w:spacing w:before="60" w:after="120" w:line="320" w:lineRule="auto"/>
      </w:pPr>
      <w:r>
        <w:t>This is not a minor inconvenience. It is the single largest institutional adoption blocker in the tokenized finance ecosystem. Every basis point of institutional capital sitting on the sidelines of RWA markets is, in part, a function of this transparency gap.</w:t>
      </w:r>
    </w:p>
    <w:p w14:paraId="1D9412EE" w14:textId="77777777" w:rsidR="00F63DB9" w:rsidRDefault="00000000">
      <w:pPr>
        <w:spacing w:after="80" w:line="276" w:lineRule="auto"/>
      </w:pPr>
      <w:r>
        <w:rPr>
          <w:sz w:val="24"/>
          <w:szCs w:val="24"/>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63DB9" w14:paraId="22E8CAAE" w14:textId="77777777">
        <w:tblPrEx>
          <w:tblCellMar>
            <w:top w:w="0" w:type="dxa"/>
            <w:bottom w:w="0" w:type="dxa"/>
          </w:tblCellMar>
        </w:tblPrEx>
        <w:tc>
          <w:tcPr>
            <w:tcW w:w="9360" w:type="dxa"/>
            <w:tcBorders>
              <w:top w:val="single" w:sz="1" w:space="0" w:color="2563EB"/>
              <w:left w:val="single" w:sz="12" w:space="0" w:color="2563EB"/>
              <w:bottom w:val="single" w:sz="1" w:space="0" w:color="2563EB"/>
            </w:tcBorders>
            <w:shd w:val="clear" w:color="auto" w:fill="EFF6FF"/>
            <w:tcMar>
              <w:top w:w="160" w:type="dxa"/>
              <w:left w:w="240" w:type="dxa"/>
              <w:bottom w:w="160" w:type="dxa"/>
              <w:right w:w="240" w:type="dxa"/>
            </w:tcMar>
          </w:tcPr>
          <w:p w14:paraId="54A6ED41" w14:textId="77777777" w:rsidR="00F63DB9" w:rsidRDefault="00000000">
            <w:pPr>
              <w:spacing w:line="300" w:lineRule="auto"/>
            </w:pPr>
            <w:r>
              <w:rPr>
                <w:color w:val="0A1628"/>
              </w:rPr>
              <w:t xml:space="preserve">RWALS — the RWA Liquidity Score — is the solution. A five-dimension, open-source, independently published scoring system that assigns every tokenized real-world asset a standardized liquidity score from 0 to 100. The first of its kind, published openly for industry review, </w:t>
            </w:r>
            <w:proofErr w:type="gramStart"/>
            <w:r>
              <w:rPr>
                <w:color w:val="0A1628"/>
              </w:rPr>
              <w:t>designed</w:t>
            </w:r>
            <w:proofErr w:type="gramEnd"/>
            <w:r>
              <w:rPr>
                <w:color w:val="0A1628"/>
              </w:rPr>
              <w:t xml:space="preserve"> to become the global standard.</w:t>
            </w:r>
          </w:p>
        </w:tc>
      </w:tr>
    </w:tbl>
    <w:p w14:paraId="57B4368C" w14:textId="77777777" w:rsidR="00F63DB9" w:rsidRDefault="00000000">
      <w:pPr>
        <w:spacing w:after="80" w:line="276" w:lineRule="auto"/>
      </w:pPr>
      <w:r>
        <w:rPr>
          <w:sz w:val="24"/>
          <w:szCs w:val="24"/>
        </w:rPr>
        <w:t xml:space="preserve"> </w:t>
      </w:r>
    </w:p>
    <w:p w14:paraId="379D81AF" w14:textId="77777777" w:rsidR="00F63DB9" w:rsidRDefault="00000000">
      <w:pPr>
        <w:spacing w:before="60" w:after="120" w:line="320" w:lineRule="auto"/>
      </w:pPr>
      <w:r>
        <w:t>This white paper presents the RWALS methodology in full: its theoretical foundations, scoring dimensions, asset class analysis, institutional applications, DeFi protocol integration framework, regulatory considerations, and roadmap to becoming the TRACE equivalent for tokenized finance.</w:t>
      </w:r>
    </w:p>
    <w:p w14:paraId="3084F4D6" w14:textId="77777777" w:rsidR="00F63DB9" w:rsidRDefault="00000000">
      <w:pPr>
        <w:spacing w:after="120" w:line="276" w:lineRule="auto"/>
      </w:pPr>
      <w:r>
        <w:rPr>
          <w:sz w:val="24"/>
          <w:szCs w:val="24"/>
        </w:rPr>
        <w:t xml:space="preserve"> </w:t>
      </w:r>
    </w:p>
    <w:p w14:paraId="77B17C8C" w14:textId="77777777" w:rsidR="00F63DB9" w:rsidRDefault="00000000">
      <w:pPr>
        <w:pStyle w:val="Heading3"/>
      </w:pPr>
      <w:r>
        <w:t>Key Findings</w:t>
      </w:r>
    </w:p>
    <w:p w14:paraId="6F03F9A6" w14:textId="77777777" w:rsidR="00F63DB9" w:rsidRDefault="00000000">
      <w:pPr>
        <w:pStyle w:val="ListParagraph"/>
        <w:numPr>
          <w:ilvl w:val="0"/>
          <w:numId w:val="2"/>
        </w:numPr>
        <w:spacing w:before="60" w:after="60" w:line="300" w:lineRule="auto"/>
      </w:pPr>
      <w:r>
        <w:t>The $30B+ RWA market has zero standardized secondary market liquidity data</w:t>
      </w:r>
    </w:p>
    <w:p w14:paraId="068D39A3" w14:textId="77777777" w:rsidR="00F63DB9" w:rsidRDefault="00000000">
      <w:pPr>
        <w:pStyle w:val="ListParagraph"/>
        <w:numPr>
          <w:ilvl w:val="0"/>
          <w:numId w:val="2"/>
        </w:numPr>
        <w:spacing w:before="60" w:after="60" w:line="300" w:lineRule="auto"/>
      </w:pPr>
      <w:r>
        <w:t xml:space="preserve">Academic research confirms: "most tokenized assets exhibit low trading volumes, long holding periods, and limited secondary-market </w:t>
      </w:r>
      <w:proofErr w:type="gramStart"/>
      <w:r>
        <w:t>activity" —</w:t>
      </w:r>
      <w:proofErr w:type="gramEnd"/>
      <w:r>
        <w:t xml:space="preserve"> yet no measurement framework exists</w:t>
      </w:r>
    </w:p>
    <w:p w14:paraId="72E8DE14" w14:textId="77777777" w:rsidR="00F63DB9" w:rsidRDefault="00000000">
      <w:pPr>
        <w:pStyle w:val="ListParagraph"/>
        <w:numPr>
          <w:ilvl w:val="0"/>
          <w:numId w:val="2"/>
        </w:numPr>
        <w:spacing w:before="60" w:after="60" w:line="300" w:lineRule="auto"/>
      </w:pPr>
      <w:r>
        <w:t>DeFi protocols accepting RWAs as collateral are setting collateral parameters with no standardized liquidity input, creating systemic risk</w:t>
      </w:r>
    </w:p>
    <w:p w14:paraId="6A9CAA7C" w14:textId="77777777" w:rsidR="00F63DB9" w:rsidRDefault="00000000">
      <w:pPr>
        <w:pStyle w:val="ListParagraph"/>
        <w:numPr>
          <w:ilvl w:val="0"/>
          <w:numId w:val="2"/>
        </w:numPr>
        <w:spacing w:before="60" w:after="60" w:line="300" w:lineRule="auto"/>
      </w:pPr>
      <w:r>
        <w:lastRenderedPageBreak/>
        <w:t>Institutional allocators building RWA portfolios have no methodology for comparing liquidity across asset classes, issuers, or platforms</w:t>
      </w:r>
    </w:p>
    <w:p w14:paraId="174555C1" w14:textId="77777777" w:rsidR="00F63DB9" w:rsidRDefault="00000000">
      <w:pPr>
        <w:pStyle w:val="ListParagraph"/>
        <w:numPr>
          <w:ilvl w:val="0"/>
          <w:numId w:val="2"/>
        </w:numPr>
        <w:spacing w:before="60" w:after="60" w:line="300" w:lineRule="auto"/>
      </w:pPr>
      <w:r>
        <w:t>The RWALS framework closes this gap with a five-dimension, 100-point scoring system applicable across all tokenized asset categories</w:t>
      </w:r>
    </w:p>
    <w:p w14:paraId="59F78682" w14:textId="77777777" w:rsidR="00F63DB9" w:rsidRDefault="00000000">
      <w:pPr>
        <w:pStyle w:val="ListParagraph"/>
        <w:numPr>
          <w:ilvl w:val="0"/>
          <w:numId w:val="2"/>
        </w:numPr>
        <w:spacing w:before="60" w:after="60" w:line="300" w:lineRule="auto"/>
      </w:pPr>
      <w:r>
        <w:t>First release scores 15 major RWA assets representing over $7 billion in distributed value</w:t>
      </w:r>
    </w:p>
    <w:p w14:paraId="07F00850" w14:textId="77777777" w:rsidR="00F63DB9" w:rsidRDefault="00000000">
      <w:r>
        <w:br w:type="page"/>
      </w:r>
    </w:p>
    <w:p w14:paraId="1E7BABCC" w14:textId="77777777" w:rsidR="00F63DB9" w:rsidRDefault="00000000">
      <w:pPr>
        <w:pStyle w:val="Heading1"/>
      </w:pPr>
      <w:r>
        <w:lastRenderedPageBreak/>
        <w:t>Table of Contents</w:t>
      </w:r>
    </w:p>
    <w:p w14:paraId="097A7692" w14:textId="77777777" w:rsidR="00F63DB9" w:rsidRDefault="00000000">
      <w:pPr>
        <w:tabs>
          <w:tab w:val="right" w:pos="9360"/>
        </w:tabs>
        <w:spacing w:before="60" w:after="60"/>
      </w:pPr>
      <w:r>
        <w:rPr>
          <w:b/>
          <w:bCs/>
          <w:color w:val="0A1628"/>
        </w:rPr>
        <w:t>1</w:t>
      </w:r>
      <w:proofErr w:type="gramStart"/>
      <w:r>
        <w:rPr>
          <w:b/>
          <w:bCs/>
          <w:color w:val="0A1628"/>
        </w:rPr>
        <w:t xml:space="preserve">.  </w:t>
      </w:r>
      <w:r>
        <w:t>The</w:t>
      </w:r>
      <w:proofErr w:type="gramEnd"/>
      <w:r>
        <w:t xml:space="preserve"> State of Tokenized Finance</w:t>
      </w:r>
      <w:r>
        <w:rPr>
          <w:color w:val="64748B"/>
        </w:rPr>
        <w:tab/>
        <w:t>5</w:t>
      </w:r>
    </w:p>
    <w:p w14:paraId="3A238120" w14:textId="77777777" w:rsidR="00F63DB9" w:rsidRDefault="00000000">
      <w:pPr>
        <w:tabs>
          <w:tab w:val="right" w:pos="9360"/>
        </w:tabs>
        <w:spacing w:before="60" w:after="60"/>
      </w:pPr>
      <w:r>
        <w:rPr>
          <w:b/>
          <w:bCs/>
          <w:color w:val="0A1628"/>
        </w:rPr>
        <w:t>2</w:t>
      </w:r>
      <w:proofErr w:type="gramStart"/>
      <w:r>
        <w:rPr>
          <w:b/>
          <w:bCs/>
          <w:color w:val="0A1628"/>
        </w:rPr>
        <w:t xml:space="preserve">.  </w:t>
      </w:r>
      <w:r>
        <w:t>The</w:t>
      </w:r>
      <w:proofErr w:type="gramEnd"/>
      <w:r>
        <w:t xml:space="preserve"> Liquidity Blindspot — Defining the Problem</w:t>
      </w:r>
      <w:r>
        <w:rPr>
          <w:color w:val="64748B"/>
        </w:rPr>
        <w:tab/>
        <w:t>7</w:t>
      </w:r>
    </w:p>
    <w:p w14:paraId="7F1D8A67" w14:textId="77777777" w:rsidR="00F63DB9" w:rsidRDefault="00000000">
      <w:pPr>
        <w:tabs>
          <w:tab w:val="right" w:pos="9360"/>
        </w:tabs>
        <w:spacing w:before="60" w:after="60"/>
      </w:pPr>
      <w:r>
        <w:rPr>
          <w:b/>
          <w:bCs/>
          <w:color w:val="0A1628"/>
        </w:rPr>
        <w:t>3</w:t>
      </w:r>
      <w:proofErr w:type="gramStart"/>
      <w:r>
        <w:rPr>
          <w:b/>
          <w:bCs/>
          <w:color w:val="0A1628"/>
        </w:rPr>
        <w:t xml:space="preserve">.  </w:t>
      </w:r>
      <w:r>
        <w:t>Prior</w:t>
      </w:r>
      <w:proofErr w:type="gramEnd"/>
      <w:r>
        <w:t xml:space="preserve"> Art and Existing Solutions</w:t>
      </w:r>
      <w:r>
        <w:rPr>
          <w:color w:val="64748B"/>
        </w:rPr>
        <w:tab/>
        <w:t>10</w:t>
      </w:r>
    </w:p>
    <w:p w14:paraId="2B539332" w14:textId="77777777" w:rsidR="00F63DB9" w:rsidRDefault="00000000">
      <w:pPr>
        <w:tabs>
          <w:tab w:val="right" w:pos="9360"/>
        </w:tabs>
        <w:spacing w:before="60" w:after="60"/>
      </w:pPr>
      <w:r>
        <w:rPr>
          <w:b/>
          <w:bCs/>
          <w:color w:val="0A1628"/>
        </w:rPr>
        <w:t>4</w:t>
      </w:r>
      <w:proofErr w:type="gramStart"/>
      <w:r>
        <w:rPr>
          <w:b/>
          <w:bCs/>
          <w:color w:val="0A1628"/>
        </w:rPr>
        <w:t xml:space="preserve">.  </w:t>
      </w:r>
      <w:r>
        <w:t>The</w:t>
      </w:r>
      <w:proofErr w:type="gramEnd"/>
      <w:r>
        <w:t xml:space="preserve"> RWALS Framework — Theoretical Foundations</w:t>
      </w:r>
      <w:r>
        <w:rPr>
          <w:color w:val="64748B"/>
        </w:rPr>
        <w:tab/>
        <w:t>12</w:t>
      </w:r>
    </w:p>
    <w:p w14:paraId="4042AFB8" w14:textId="77777777" w:rsidR="00F63DB9" w:rsidRDefault="00000000">
      <w:pPr>
        <w:tabs>
          <w:tab w:val="right" w:pos="9360"/>
        </w:tabs>
        <w:spacing w:before="60" w:after="60"/>
      </w:pPr>
      <w:r>
        <w:rPr>
          <w:b/>
          <w:bCs/>
          <w:color w:val="0A1628"/>
        </w:rPr>
        <w:t>5</w:t>
      </w:r>
      <w:proofErr w:type="gramStart"/>
      <w:r>
        <w:rPr>
          <w:b/>
          <w:bCs/>
          <w:color w:val="0A1628"/>
        </w:rPr>
        <w:t xml:space="preserve">.  </w:t>
      </w:r>
      <w:r>
        <w:t>Scoring</w:t>
      </w:r>
      <w:proofErr w:type="gramEnd"/>
      <w:r>
        <w:t xml:space="preserve"> Dimensions in Detail</w:t>
      </w:r>
      <w:r>
        <w:rPr>
          <w:color w:val="64748B"/>
        </w:rPr>
        <w:tab/>
        <w:t>15</w:t>
      </w:r>
    </w:p>
    <w:p w14:paraId="595BF56B" w14:textId="77777777" w:rsidR="00F63DB9" w:rsidRDefault="00000000">
      <w:pPr>
        <w:tabs>
          <w:tab w:val="right" w:pos="9360"/>
        </w:tabs>
        <w:spacing w:before="60" w:after="60"/>
      </w:pPr>
      <w:r>
        <w:rPr>
          <w:b/>
          <w:bCs/>
          <w:color w:val="0A1628"/>
        </w:rPr>
        <w:t>6</w:t>
      </w:r>
      <w:proofErr w:type="gramStart"/>
      <w:r>
        <w:rPr>
          <w:b/>
          <w:bCs/>
          <w:color w:val="0A1628"/>
        </w:rPr>
        <w:t xml:space="preserve">.  </w:t>
      </w:r>
      <w:r>
        <w:t>Score</w:t>
      </w:r>
      <w:proofErr w:type="gramEnd"/>
      <w:r>
        <w:t xml:space="preserve"> Interpretation and Grade Scale</w:t>
      </w:r>
      <w:r>
        <w:rPr>
          <w:color w:val="64748B"/>
        </w:rPr>
        <w:tab/>
        <w:t>22</w:t>
      </w:r>
    </w:p>
    <w:p w14:paraId="37E2DFF7" w14:textId="77777777" w:rsidR="00F63DB9" w:rsidRDefault="00000000">
      <w:pPr>
        <w:tabs>
          <w:tab w:val="right" w:pos="9360"/>
        </w:tabs>
        <w:spacing w:before="60" w:after="60"/>
      </w:pPr>
      <w:r>
        <w:rPr>
          <w:b/>
          <w:bCs/>
          <w:color w:val="0A1628"/>
        </w:rPr>
        <w:t>7</w:t>
      </w:r>
      <w:proofErr w:type="gramStart"/>
      <w:r>
        <w:rPr>
          <w:b/>
          <w:bCs/>
          <w:color w:val="0A1628"/>
        </w:rPr>
        <w:t xml:space="preserve">.  </w:t>
      </w:r>
      <w:r>
        <w:t>Asset</w:t>
      </w:r>
      <w:proofErr w:type="gramEnd"/>
      <w:r>
        <w:t xml:space="preserve"> Class Analysis — Treasuries</w:t>
      </w:r>
      <w:r>
        <w:rPr>
          <w:color w:val="64748B"/>
        </w:rPr>
        <w:tab/>
        <w:t>24</w:t>
      </w:r>
    </w:p>
    <w:p w14:paraId="15B6D542" w14:textId="77777777" w:rsidR="00F63DB9" w:rsidRDefault="00000000">
      <w:pPr>
        <w:tabs>
          <w:tab w:val="right" w:pos="9360"/>
        </w:tabs>
        <w:spacing w:before="60" w:after="60"/>
      </w:pPr>
      <w:r>
        <w:rPr>
          <w:b/>
          <w:bCs/>
          <w:color w:val="0A1628"/>
        </w:rPr>
        <w:t xml:space="preserve">8.  </w:t>
      </w:r>
      <w:r>
        <w:t>Asset Class Analysis — Private Credit</w:t>
      </w:r>
      <w:r>
        <w:rPr>
          <w:color w:val="64748B"/>
        </w:rPr>
        <w:tab/>
        <w:t>27</w:t>
      </w:r>
    </w:p>
    <w:p w14:paraId="2220063E" w14:textId="77777777" w:rsidR="00F63DB9" w:rsidRDefault="00000000">
      <w:pPr>
        <w:tabs>
          <w:tab w:val="right" w:pos="9360"/>
        </w:tabs>
        <w:spacing w:before="60" w:after="60"/>
      </w:pPr>
      <w:r>
        <w:rPr>
          <w:b/>
          <w:bCs/>
          <w:color w:val="0A1628"/>
        </w:rPr>
        <w:t xml:space="preserve">9.  </w:t>
      </w:r>
      <w:r>
        <w:t>Asset Class Analysis — Commodities</w:t>
      </w:r>
      <w:r>
        <w:rPr>
          <w:color w:val="64748B"/>
        </w:rPr>
        <w:tab/>
        <w:t>30</w:t>
      </w:r>
    </w:p>
    <w:p w14:paraId="419C3404" w14:textId="77777777" w:rsidR="00F63DB9" w:rsidRDefault="00000000">
      <w:pPr>
        <w:tabs>
          <w:tab w:val="right" w:pos="9360"/>
        </w:tabs>
        <w:spacing w:before="60" w:after="60"/>
      </w:pPr>
      <w:r>
        <w:rPr>
          <w:b/>
          <w:bCs/>
          <w:color w:val="0A1628"/>
        </w:rPr>
        <w:t>10</w:t>
      </w:r>
      <w:proofErr w:type="gramStart"/>
      <w:r>
        <w:rPr>
          <w:b/>
          <w:bCs/>
          <w:color w:val="0A1628"/>
        </w:rPr>
        <w:t xml:space="preserve">.  </w:t>
      </w:r>
      <w:r>
        <w:t>Asset</w:t>
      </w:r>
      <w:proofErr w:type="gramEnd"/>
      <w:r>
        <w:t xml:space="preserve"> Class Analysis — Real Estate</w:t>
      </w:r>
      <w:r>
        <w:rPr>
          <w:color w:val="64748B"/>
        </w:rPr>
        <w:tab/>
        <w:t>32</w:t>
      </w:r>
    </w:p>
    <w:p w14:paraId="20845FD6" w14:textId="77777777" w:rsidR="00F63DB9" w:rsidRDefault="00000000">
      <w:pPr>
        <w:tabs>
          <w:tab w:val="right" w:pos="9360"/>
        </w:tabs>
        <w:spacing w:before="60" w:after="60"/>
      </w:pPr>
      <w:r>
        <w:rPr>
          <w:b/>
          <w:bCs/>
          <w:color w:val="0A1628"/>
        </w:rPr>
        <w:t>11</w:t>
      </w:r>
      <w:proofErr w:type="gramStart"/>
      <w:r>
        <w:rPr>
          <w:b/>
          <w:bCs/>
          <w:color w:val="0A1628"/>
        </w:rPr>
        <w:t xml:space="preserve">.  </w:t>
      </w:r>
      <w:r>
        <w:t>RWALS</w:t>
      </w:r>
      <w:proofErr w:type="gramEnd"/>
      <w:r>
        <w:t xml:space="preserve"> Master Score Table — Version 1.0</w:t>
      </w:r>
      <w:r>
        <w:rPr>
          <w:color w:val="64748B"/>
        </w:rPr>
        <w:tab/>
        <w:t>34</w:t>
      </w:r>
    </w:p>
    <w:p w14:paraId="115D5B2E" w14:textId="77777777" w:rsidR="00F63DB9" w:rsidRDefault="00000000">
      <w:pPr>
        <w:tabs>
          <w:tab w:val="right" w:pos="9360"/>
        </w:tabs>
        <w:spacing w:before="60" w:after="60"/>
      </w:pPr>
      <w:r>
        <w:rPr>
          <w:b/>
          <w:bCs/>
          <w:color w:val="0A1628"/>
        </w:rPr>
        <w:t>12</w:t>
      </w:r>
      <w:proofErr w:type="gramStart"/>
      <w:r>
        <w:rPr>
          <w:b/>
          <w:bCs/>
          <w:color w:val="0A1628"/>
        </w:rPr>
        <w:t xml:space="preserve">.  </w:t>
      </w:r>
      <w:r>
        <w:t>DeFi</w:t>
      </w:r>
      <w:proofErr w:type="gramEnd"/>
      <w:r>
        <w:t xml:space="preserve"> Protocol Integration Framework</w:t>
      </w:r>
      <w:r>
        <w:rPr>
          <w:color w:val="64748B"/>
        </w:rPr>
        <w:tab/>
        <w:t>36</w:t>
      </w:r>
    </w:p>
    <w:p w14:paraId="457F9D4C" w14:textId="77777777" w:rsidR="00F63DB9" w:rsidRDefault="00000000">
      <w:pPr>
        <w:tabs>
          <w:tab w:val="right" w:pos="9360"/>
        </w:tabs>
        <w:spacing w:before="60" w:after="60"/>
      </w:pPr>
      <w:r>
        <w:rPr>
          <w:b/>
          <w:bCs/>
          <w:color w:val="0A1628"/>
        </w:rPr>
        <w:t>13</w:t>
      </w:r>
      <w:proofErr w:type="gramStart"/>
      <w:r>
        <w:rPr>
          <w:b/>
          <w:bCs/>
          <w:color w:val="0A1628"/>
        </w:rPr>
        <w:t xml:space="preserve">.  </w:t>
      </w:r>
      <w:r>
        <w:t>Institutional</w:t>
      </w:r>
      <w:proofErr w:type="gramEnd"/>
      <w:r>
        <w:t xml:space="preserve"> Allocation Applications</w:t>
      </w:r>
      <w:r>
        <w:rPr>
          <w:color w:val="64748B"/>
        </w:rPr>
        <w:tab/>
        <w:t>40</w:t>
      </w:r>
    </w:p>
    <w:p w14:paraId="4BC23F2E" w14:textId="77777777" w:rsidR="00F63DB9" w:rsidRDefault="00000000">
      <w:pPr>
        <w:tabs>
          <w:tab w:val="right" w:pos="9360"/>
        </w:tabs>
        <w:spacing w:before="60" w:after="60"/>
      </w:pPr>
      <w:r>
        <w:rPr>
          <w:b/>
          <w:bCs/>
          <w:color w:val="0A1628"/>
        </w:rPr>
        <w:t>14</w:t>
      </w:r>
      <w:proofErr w:type="gramStart"/>
      <w:r>
        <w:rPr>
          <w:b/>
          <w:bCs/>
          <w:color w:val="0A1628"/>
        </w:rPr>
        <w:t xml:space="preserve">.  </w:t>
      </w:r>
      <w:r>
        <w:t>Regulatory</w:t>
      </w:r>
      <w:proofErr w:type="gramEnd"/>
      <w:r>
        <w:t xml:space="preserve"> Considerations</w:t>
      </w:r>
      <w:r>
        <w:rPr>
          <w:color w:val="64748B"/>
        </w:rPr>
        <w:tab/>
        <w:t>43</w:t>
      </w:r>
    </w:p>
    <w:p w14:paraId="75FEA7FE" w14:textId="77777777" w:rsidR="00F63DB9" w:rsidRDefault="00000000">
      <w:pPr>
        <w:tabs>
          <w:tab w:val="right" w:pos="9360"/>
        </w:tabs>
        <w:spacing w:before="60" w:after="60"/>
      </w:pPr>
      <w:r>
        <w:rPr>
          <w:b/>
          <w:bCs/>
          <w:color w:val="0A1628"/>
        </w:rPr>
        <w:t>15</w:t>
      </w:r>
      <w:proofErr w:type="gramStart"/>
      <w:r>
        <w:rPr>
          <w:b/>
          <w:bCs/>
          <w:color w:val="0A1628"/>
        </w:rPr>
        <w:t xml:space="preserve">.  </w:t>
      </w:r>
      <w:r>
        <w:t>Governance</w:t>
      </w:r>
      <w:proofErr w:type="gramEnd"/>
      <w:r>
        <w:t xml:space="preserve"> and Methodology Evolution</w:t>
      </w:r>
      <w:r>
        <w:rPr>
          <w:color w:val="64748B"/>
        </w:rPr>
        <w:tab/>
        <w:t>46</w:t>
      </w:r>
    </w:p>
    <w:p w14:paraId="457FA4C6" w14:textId="77777777" w:rsidR="00F63DB9" w:rsidRDefault="00000000">
      <w:pPr>
        <w:tabs>
          <w:tab w:val="right" w:pos="9360"/>
        </w:tabs>
        <w:spacing w:before="60" w:after="60"/>
      </w:pPr>
      <w:r>
        <w:rPr>
          <w:b/>
          <w:bCs/>
          <w:color w:val="0A1628"/>
        </w:rPr>
        <w:t>16</w:t>
      </w:r>
      <w:proofErr w:type="gramStart"/>
      <w:r>
        <w:rPr>
          <w:b/>
          <w:bCs/>
          <w:color w:val="0A1628"/>
        </w:rPr>
        <w:t xml:space="preserve">.  </w:t>
      </w:r>
      <w:r>
        <w:t>The</w:t>
      </w:r>
      <w:proofErr w:type="gramEnd"/>
      <w:r>
        <w:t xml:space="preserve"> RWA Secondary Market Roadmap</w:t>
      </w:r>
      <w:r>
        <w:rPr>
          <w:color w:val="64748B"/>
        </w:rPr>
        <w:tab/>
        <w:t>48</w:t>
      </w:r>
    </w:p>
    <w:p w14:paraId="4CE1102D" w14:textId="77777777" w:rsidR="00F63DB9" w:rsidRDefault="00000000">
      <w:pPr>
        <w:tabs>
          <w:tab w:val="right" w:pos="9360"/>
        </w:tabs>
        <w:spacing w:before="60" w:after="60"/>
      </w:pPr>
      <w:r>
        <w:rPr>
          <w:b/>
          <w:bCs/>
          <w:color w:val="0A1628"/>
        </w:rPr>
        <w:t>17</w:t>
      </w:r>
      <w:proofErr w:type="gramStart"/>
      <w:r>
        <w:rPr>
          <w:b/>
          <w:bCs/>
          <w:color w:val="0A1628"/>
        </w:rPr>
        <w:t xml:space="preserve">.  </w:t>
      </w:r>
      <w:r>
        <w:t>Strategic</w:t>
      </w:r>
      <w:proofErr w:type="gramEnd"/>
      <w:r>
        <w:t xml:space="preserve"> Roadmap</w:t>
      </w:r>
      <w:r>
        <w:rPr>
          <w:color w:val="64748B"/>
        </w:rPr>
        <w:tab/>
        <w:t>50</w:t>
      </w:r>
    </w:p>
    <w:p w14:paraId="71367CCA" w14:textId="77777777" w:rsidR="00F63DB9" w:rsidRDefault="00000000">
      <w:pPr>
        <w:tabs>
          <w:tab w:val="right" w:pos="9360"/>
        </w:tabs>
        <w:spacing w:before="60" w:after="60"/>
      </w:pPr>
      <w:r>
        <w:rPr>
          <w:b/>
          <w:bCs/>
          <w:color w:val="0A1628"/>
        </w:rPr>
        <w:t>18</w:t>
      </w:r>
      <w:proofErr w:type="gramStart"/>
      <w:r>
        <w:rPr>
          <w:b/>
          <w:bCs/>
          <w:color w:val="0A1628"/>
        </w:rPr>
        <w:t xml:space="preserve">.  </w:t>
      </w:r>
      <w:r>
        <w:t>Conclusion</w:t>
      </w:r>
      <w:proofErr w:type="gramEnd"/>
      <w:r>
        <w:rPr>
          <w:color w:val="64748B"/>
        </w:rPr>
        <w:tab/>
        <w:t>52</w:t>
      </w:r>
    </w:p>
    <w:p w14:paraId="525E478B" w14:textId="77777777" w:rsidR="00F63DB9" w:rsidRDefault="00000000">
      <w:pPr>
        <w:tabs>
          <w:tab w:val="right" w:pos="9360"/>
        </w:tabs>
        <w:spacing w:before="60" w:after="60"/>
      </w:pPr>
      <w:r>
        <w:rPr>
          <w:b/>
          <w:bCs/>
          <w:color w:val="0A1628"/>
        </w:rPr>
        <w:t xml:space="preserve">Appendix A.  </w:t>
      </w:r>
      <w:r>
        <w:t>Methodology Changelog</w:t>
      </w:r>
      <w:r>
        <w:rPr>
          <w:color w:val="64748B"/>
        </w:rPr>
        <w:tab/>
        <w:t>54</w:t>
      </w:r>
    </w:p>
    <w:p w14:paraId="05EB8A93" w14:textId="77777777" w:rsidR="00F63DB9" w:rsidRDefault="00000000">
      <w:pPr>
        <w:tabs>
          <w:tab w:val="right" w:pos="9360"/>
        </w:tabs>
        <w:spacing w:before="60" w:after="60"/>
      </w:pPr>
      <w:r>
        <w:rPr>
          <w:b/>
          <w:bCs/>
          <w:color w:val="0A1628"/>
        </w:rPr>
        <w:t xml:space="preserve">Appendix B.  </w:t>
      </w:r>
      <w:r>
        <w:t>Glossary</w:t>
      </w:r>
      <w:r>
        <w:rPr>
          <w:color w:val="64748B"/>
        </w:rPr>
        <w:tab/>
        <w:t>55</w:t>
      </w:r>
    </w:p>
    <w:p w14:paraId="382FCC2B" w14:textId="77777777" w:rsidR="00F63DB9" w:rsidRDefault="00000000">
      <w:pPr>
        <w:tabs>
          <w:tab w:val="right" w:pos="9360"/>
        </w:tabs>
        <w:spacing w:before="60" w:after="60"/>
      </w:pPr>
      <w:r>
        <w:rPr>
          <w:b/>
          <w:bCs/>
          <w:color w:val="0A1628"/>
        </w:rPr>
        <w:t xml:space="preserve">Appendix C.  </w:t>
      </w:r>
      <w:r>
        <w:t>References</w:t>
      </w:r>
      <w:r>
        <w:rPr>
          <w:color w:val="64748B"/>
        </w:rPr>
        <w:tab/>
        <w:t>57</w:t>
      </w:r>
    </w:p>
    <w:p w14:paraId="1CB87241" w14:textId="77777777" w:rsidR="00F63DB9" w:rsidRDefault="00000000">
      <w:r>
        <w:br w:type="page"/>
      </w:r>
    </w:p>
    <w:p w14:paraId="6B03D8EA" w14:textId="77777777" w:rsidR="00F63DB9" w:rsidRDefault="00000000">
      <w:pPr>
        <w:pStyle w:val="Heading1"/>
      </w:pPr>
      <w:r>
        <w:lastRenderedPageBreak/>
        <w:t>Chapter 1: The State of Tokenized Finance</w:t>
      </w:r>
    </w:p>
    <w:p w14:paraId="0DA576C8" w14:textId="77777777" w:rsidR="00F63DB9" w:rsidRDefault="00000000">
      <w:pPr>
        <w:pStyle w:val="Heading2"/>
        <w:pBdr>
          <w:bottom w:val="single" w:sz="4" w:space="4" w:color="CBD5E1"/>
        </w:pBdr>
      </w:pPr>
      <w:r>
        <w:t>1.1 The Tokenization Revolution</w:t>
      </w:r>
    </w:p>
    <w:p w14:paraId="1FCA8E2E" w14:textId="77777777" w:rsidR="00F63DB9" w:rsidRDefault="00000000">
      <w:pPr>
        <w:spacing w:before="60" w:after="120" w:line="320" w:lineRule="auto"/>
      </w:pPr>
      <w:r>
        <w:t>The tokenization of real-world assets represents one of the most significant structural shifts in the history of capital markets. For the first time, fractional, programmable, and globally accessible ownership of historically illiquid asset classes — private credit, real estate, commodities, sovereign debt, private equity — is technologically achievable at institutional scale.</w:t>
      </w:r>
    </w:p>
    <w:p w14:paraId="38BD450A" w14:textId="77777777" w:rsidR="00F63DB9" w:rsidRDefault="00000000">
      <w:pPr>
        <w:spacing w:before="60" w:after="120" w:line="320" w:lineRule="auto"/>
      </w:pPr>
      <w:r>
        <w:t xml:space="preserve">The trajectory has been unmistakable. From a standing start in 2017, the tokenized RWA market has grown to over $30 billion in distributed value as of Q1 2025, excluding </w:t>
      </w:r>
      <w:proofErr w:type="gramStart"/>
      <w:r>
        <w:t>stablecoins</w:t>
      </w:r>
      <w:proofErr w:type="gramEnd"/>
      <w:r>
        <w:t xml:space="preserve">. Including </w:t>
      </w:r>
      <w:proofErr w:type="gramStart"/>
      <w:r>
        <w:t>on-chain</w:t>
      </w:r>
      <w:proofErr w:type="gramEnd"/>
      <w:r>
        <w:t xml:space="preserve"> stablecoins, the figure exceeds $200 billion. </w:t>
      </w:r>
      <w:proofErr w:type="spellStart"/>
      <w:r>
        <w:t>Rwa.xyz</w:t>
      </w:r>
      <w:proofErr w:type="spellEnd"/>
      <w:r>
        <w:t>, the authoritative data platform for the sector, tracks 5,000+ individual tokenized assets across 34 blockchain networks, spanning everything from US Treasury Bills to Kenyan commercial real estate to carbon credits.</w:t>
      </w:r>
    </w:p>
    <w:p w14:paraId="500E71AA" w14:textId="77777777" w:rsidR="00F63DB9" w:rsidRDefault="00000000">
      <w:pPr>
        <w:spacing w:before="60" w:after="120" w:line="320" w:lineRule="auto"/>
      </w:pPr>
      <w:r>
        <w:t>The institutional entrance has been decisive. BlackRock launched BUIDL, its tokenized money market fund, in March 2024. The fund crossed $500 million in assets within weeks and surpassed $2.8 billion by Q1 2025 — the fastest-growing institutional product in BlackRock's history. Franklin Templeton, Fidelity, UBS, Societe Generale, JPMorgan, and HSBC have all launched tokenized instruments or tokenization platforms. The Bank for International Settlements has published multiple working papers on the systemic importance of tokenized finance infrastructure.</w:t>
      </w:r>
    </w:p>
    <w:p w14:paraId="552B6936" w14:textId="77777777" w:rsidR="00F63DB9" w:rsidRDefault="00000000">
      <w:pPr>
        <w:pStyle w:val="Heading2"/>
        <w:pBdr>
          <w:bottom w:val="single" w:sz="4" w:space="4" w:color="CBD5E1"/>
        </w:pBdr>
      </w:pPr>
      <w:r>
        <w:t>1.2 Asset Class Breakdown</w:t>
      </w:r>
    </w:p>
    <w:p w14:paraId="7D703061" w14:textId="77777777" w:rsidR="00F63DB9" w:rsidRDefault="00000000">
      <w:pPr>
        <w:spacing w:before="60" w:after="120" w:line="320" w:lineRule="auto"/>
      </w:pPr>
      <w:r>
        <w:t>As of Q1 2025, the tokenized RWA market is distributed across five primary categories:</w:t>
      </w:r>
    </w:p>
    <w:p w14:paraId="53FCEB6E" w14:textId="77777777" w:rsidR="00F63DB9" w:rsidRDefault="00000000">
      <w:pPr>
        <w:spacing w:after="80" w:line="276" w:lineRule="auto"/>
      </w:pPr>
      <w:r>
        <w:rPr>
          <w:sz w:val="24"/>
          <w:szCs w:val="24"/>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200"/>
        <w:gridCol w:w="2160"/>
        <w:gridCol w:w="2200"/>
      </w:tblGrid>
      <w:tr w:rsidR="00F63DB9" w14:paraId="3ED8FF1D" w14:textId="77777777">
        <w:tblPrEx>
          <w:tblCellMar>
            <w:top w:w="0" w:type="dxa"/>
            <w:bottom w:w="0" w:type="dxa"/>
          </w:tblCellMar>
        </w:tblPrEx>
        <w:trPr>
          <w:tblHeader/>
        </w:trPr>
        <w:tc>
          <w:tcPr>
            <w:tcW w:w="28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28E0ADE9" w14:textId="77777777" w:rsidR="00F63DB9" w:rsidRDefault="00000000">
            <w:pPr>
              <w:jc w:val="center"/>
            </w:pPr>
            <w:r>
              <w:rPr>
                <w:b/>
                <w:bCs/>
                <w:color w:val="FFFFFF"/>
                <w:sz w:val="18"/>
                <w:szCs w:val="18"/>
              </w:rPr>
              <w:t>Asset Class</w:t>
            </w:r>
          </w:p>
        </w:tc>
        <w:tc>
          <w:tcPr>
            <w:tcW w:w="22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4E7C7A0B" w14:textId="77777777" w:rsidR="00F63DB9" w:rsidRDefault="00000000">
            <w:pPr>
              <w:jc w:val="center"/>
            </w:pPr>
            <w:r>
              <w:rPr>
                <w:b/>
                <w:bCs/>
                <w:color w:val="FFFFFF"/>
                <w:sz w:val="18"/>
                <w:szCs w:val="18"/>
              </w:rPr>
              <w:t>Estimated TVL</w:t>
            </w:r>
          </w:p>
        </w:tc>
        <w:tc>
          <w:tcPr>
            <w:tcW w:w="216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1862CCE5" w14:textId="77777777" w:rsidR="00F63DB9" w:rsidRDefault="00000000">
            <w:pPr>
              <w:jc w:val="center"/>
            </w:pPr>
            <w:r>
              <w:rPr>
                <w:b/>
                <w:bCs/>
                <w:color w:val="FFFFFF"/>
                <w:sz w:val="18"/>
                <w:szCs w:val="18"/>
              </w:rPr>
              <w:t>Est. Instruments</w:t>
            </w:r>
          </w:p>
        </w:tc>
        <w:tc>
          <w:tcPr>
            <w:tcW w:w="22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215B18F4" w14:textId="77777777" w:rsidR="00F63DB9" w:rsidRDefault="00000000">
            <w:pPr>
              <w:jc w:val="center"/>
            </w:pPr>
            <w:r>
              <w:rPr>
                <w:b/>
                <w:bCs/>
                <w:color w:val="FFFFFF"/>
                <w:sz w:val="18"/>
                <w:szCs w:val="18"/>
              </w:rPr>
              <w:t>YoY Growth</w:t>
            </w:r>
          </w:p>
        </w:tc>
      </w:tr>
      <w:tr w:rsidR="00F63DB9" w14:paraId="2FC1D909"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25BFD766" w14:textId="77777777" w:rsidR="00F63DB9" w:rsidRDefault="00000000">
            <w:r>
              <w:rPr>
                <w:b/>
                <w:bCs/>
                <w:sz w:val="20"/>
                <w:szCs w:val="20"/>
              </w:rPr>
              <w:t>US Treasuries &amp; MMF</w:t>
            </w:r>
          </w:p>
        </w:tc>
        <w:tc>
          <w:tcPr>
            <w:tcW w:w="22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4BB7320E" w14:textId="77777777" w:rsidR="00F63DB9" w:rsidRDefault="00000000">
            <w:pPr>
              <w:jc w:val="center"/>
            </w:pPr>
            <w:r>
              <w:rPr>
                <w:sz w:val="20"/>
                <w:szCs w:val="20"/>
              </w:rPr>
              <w:t>$14.2B</w:t>
            </w:r>
          </w:p>
        </w:tc>
        <w:tc>
          <w:tcPr>
            <w:tcW w:w="216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4E08204C" w14:textId="77777777" w:rsidR="00F63DB9" w:rsidRDefault="00000000">
            <w:pPr>
              <w:jc w:val="center"/>
            </w:pPr>
            <w:r>
              <w:rPr>
                <w:sz w:val="20"/>
                <w:szCs w:val="20"/>
              </w:rPr>
              <w:t>85+</w:t>
            </w:r>
          </w:p>
        </w:tc>
        <w:tc>
          <w:tcPr>
            <w:tcW w:w="22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28CBDBF4" w14:textId="77777777" w:rsidR="00F63DB9" w:rsidRDefault="00000000">
            <w:pPr>
              <w:jc w:val="center"/>
            </w:pPr>
            <w:r>
              <w:rPr>
                <w:sz w:val="20"/>
                <w:szCs w:val="20"/>
              </w:rPr>
              <w:t>+340%</w:t>
            </w:r>
          </w:p>
        </w:tc>
      </w:tr>
      <w:tr w:rsidR="00F63DB9" w14:paraId="5EC91563"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AB00D5B" w14:textId="77777777" w:rsidR="00F63DB9" w:rsidRDefault="00000000">
            <w:r>
              <w:rPr>
                <w:b/>
                <w:bCs/>
                <w:sz w:val="20"/>
                <w:szCs w:val="20"/>
              </w:rPr>
              <w:t>Private Credit</w:t>
            </w:r>
          </w:p>
        </w:tc>
        <w:tc>
          <w:tcPr>
            <w:tcW w:w="22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EFD22CB" w14:textId="77777777" w:rsidR="00F63DB9" w:rsidRDefault="00000000">
            <w:pPr>
              <w:jc w:val="center"/>
            </w:pPr>
            <w:r>
              <w:rPr>
                <w:sz w:val="20"/>
                <w:szCs w:val="20"/>
              </w:rPr>
              <w:t>$9.8B</w:t>
            </w:r>
          </w:p>
        </w:tc>
        <w:tc>
          <w:tcPr>
            <w:tcW w:w="21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202C8B35" w14:textId="77777777" w:rsidR="00F63DB9" w:rsidRDefault="00000000">
            <w:pPr>
              <w:jc w:val="center"/>
            </w:pPr>
            <w:r>
              <w:rPr>
                <w:sz w:val="20"/>
                <w:szCs w:val="20"/>
              </w:rPr>
              <w:t>620+</w:t>
            </w:r>
          </w:p>
        </w:tc>
        <w:tc>
          <w:tcPr>
            <w:tcW w:w="22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7E53257" w14:textId="77777777" w:rsidR="00F63DB9" w:rsidRDefault="00000000">
            <w:pPr>
              <w:jc w:val="center"/>
            </w:pPr>
            <w:r>
              <w:rPr>
                <w:sz w:val="20"/>
                <w:szCs w:val="20"/>
              </w:rPr>
              <w:t>+190%</w:t>
            </w:r>
          </w:p>
        </w:tc>
      </w:tr>
      <w:tr w:rsidR="00F63DB9" w14:paraId="5330D3A0"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63465260" w14:textId="77777777" w:rsidR="00F63DB9" w:rsidRDefault="00000000">
            <w:r>
              <w:rPr>
                <w:b/>
                <w:bCs/>
                <w:sz w:val="20"/>
                <w:szCs w:val="20"/>
              </w:rPr>
              <w:t>Commodities (Gold)</w:t>
            </w:r>
          </w:p>
        </w:tc>
        <w:tc>
          <w:tcPr>
            <w:tcW w:w="22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BD31DCB" w14:textId="77777777" w:rsidR="00F63DB9" w:rsidRDefault="00000000">
            <w:pPr>
              <w:jc w:val="center"/>
            </w:pPr>
            <w:r>
              <w:rPr>
                <w:sz w:val="20"/>
                <w:szCs w:val="20"/>
              </w:rPr>
              <w:t>$3.2B</w:t>
            </w:r>
          </w:p>
        </w:tc>
        <w:tc>
          <w:tcPr>
            <w:tcW w:w="216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D2AC453" w14:textId="77777777" w:rsidR="00F63DB9" w:rsidRDefault="00000000">
            <w:pPr>
              <w:jc w:val="center"/>
            </w:pPr>
            <w:r>
              <w:rPr>
                <w:sz w:val="20"/>
                <w:szCs w:val="20"/>
              </w:rPr>
              <w:t>12</w:t>
            </w:r>
          </w:p>
        </w:tc>
        <w:tc>
          <w:tcPr>
            <w:tcW w:w="22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3CBA53E2" w14:textId="77777777" w:rsidR="00F63DB9" w:rsidRDefault="00000000">
            <w:pPr>
              <w:jc w:val="center"/>
            </w:pPr>
            <w:r>
              <w:rPr>
                <w:sz w:val="20"/>
                <w:szCs w:val="20"/>
              </w:rPr>
              <w:t>+67%</w:t>
            </w:r>
          </w:p>
        </w:tc>
      </w:tr>
      <w:tr w:rsidR="00F63DB9" w14:paraId="49CFDF3F"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33388C1" w14:textId="77777777" w:rsidR="00F63DB9" w:rsidRDefault="00000000">
            <w:r>
              <w:rPr>
                <w:b/>
                <w:bCs/>
                <w:sz w:val="20"/>
                <w:szCs w:val="20"/>
              </w:rPr>
              <w:t>Real Estate</w:t>
            </w:r>
          </w:p>
        </w:tc>
        <w:tc>
          <w:tcPr>
            <w:tcW w:w="22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B120F9B" w14:textId="77777777" w:rsidR="00F63DB9" w:rsidRDefault="00000000">
            <w:pPr>
              <w:jc w:val="center"/>
            </w:pPr>
            <w:r>
              <w:rPr>
                <w:sz w:val="20"/>
                <w:szCs w:val="20"/>
              </w:rPr>
              <w:t>$1.8B</w:t>
            </w:r>
          </w:p>
        </w:tc>
        <w:tc>
          <w:tcPr>
            <w:tcW w:w="21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EED8FB1" w14:textId="77777777" w:rsidR="00F63DB9" w:rsidRDefault="00000000">
            <w:pPr>
              <w:jc w:val="center"/>
            </w:pPr>
            <w:r>
              <w:rPr>
                <w:sz w:val="20"/>
                <w:szCs w:val="20"/>
              </w:rPr>
              <w:t>4,200+</w:t>
            </w:r>
          </w:p>
        </w:tc>
        <w:tc>
          <w:tcPr>
            <w:tcW w:w="22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AAE3FBC" w14:textId="77777777" w:rsidR="00F63DB9" w:rsidRDefault="00000000">
            <w:pPr>
              <w:jc w:val="center"/>
            </w:pPr>
            <w:r>
              <w:rPr>
                <w:sz w:val="20"/>
                <w:szCs w:val="20"/>
              </w:rPr>
              <w:t>+110%</w:t>
            </w:r>
          </w:p>
        </w:tc>
      </w:tr>
      <w:tr w:rsidR="00F63DB9" w14:paraId="661BFEC1"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46B44675" w14:textId="77777777" w:rsidR="00F63DB9" w:rsidRDefault="00000000">
            <w:r>
              <w:rPr>
                <w:b/>
                <w:bCs/>
                <w:sz w:val="20"/>
                <w:szCs w:val="20"/>
              </w:rPr>
              <w:t>Other (PE, equities)</w:t>
            </w:r>
          </w:p>
        </w:tc>
        <w:tc>
          <w:tcPr>
            <w:tcW w:w="22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CFFD6CA" w14:textId="77777777" w:rsidR="00F63DB9" w:rsidRDefault="00000000">
            <w:pPr>
              <w:jc w:val="center"/>
            </w:pPr>
            <w:r>
              <w:rPr>
                <w:sz w:val="20"/>
                <w:szCs w:val="20"/>
              </w:rPr>
              <w:t>$1.6B</w:t>
            </w:r>
          </w:p>
        </w:tc>
        <w:tc>
          <w:tcPr>
            <w:tcW w:w="216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4DDFC685" w14:textId="77777777" w:rsidR="00F63DB9" w:rsidRDefault="00000000">
            <w:pPr>
              <w:jc w:val="center"/>
            </w:pPr>
            <w:r>
              <w:rPr>
                <w:sz w:val="20"/>
                <w:szCs w:val="20"/>
              </w:rPr>
              <w:t>200+</w:t>
            </w:r>
          </w:p>
        </w:tc>
        <w:tc>
          <w:tcPr>
            <w:tcW w:w="22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CCFAC91" w14:textId="77777777" w:rsidR="00F63DB9" w:rsidRDefault="00000000">
            <w:pPr>
              <w:jc w:val="center"/>
            </w:pPr>
            <w:r>
              <w:rPr>
                <w:sz w:val="20"/>
                <w:szCs w:val="20"/>
              </w:rPr>
              <w:t>+280%</w:t>
            </w:r>
          </w:p>
        </w:tc>
      </w:tr>
    </w:tbl>
    <w:p w14:paraId="5B092846" w14:textId="77777777" w:rsidR="00F63DB9" w:rsidRDefault="00000000">
      <w:pPr>
        <w:spacing w:after="160" w:line="276" w:lineRule="auto"/>
      </w:pPr>
      <w:r>
        <w:rPr>
          <w:sz w:val="24"/>
          <w:szCs w:val="24"/>
        </w:rPr>
        <w:t xml:space="preserve"> </w:t>
      </w:r>
    </w:p>
    <w:p w14:paraId="095AF06E" w14:textId="77777777" w:rsidR="00F63DB9" w:rsidRDefault="00000000">
      <w:pPr>
        <w:pStyle w:val="Heading2"/>
        <w:pBdr>
          <w:bottom w:val="single" w:sz="4" w:space="4" w:color="CBD5E1"/>
        </w:pBdr>
      </w:pPr>
      <w:r>
        <w:t>1.3 The Infrastructure Gap</w:t>
      </w:r>
    </w:p>
    <w:p w14:paraId="00C66E20" w14:textId="77777777" w:rsidR="00F63DB9" w:rsidRDefault="00000000">
      <w:pPr>
        <w:spacing w:before="60" w:after="120" w:line="320" w:lineRule="auto"/>
      </w:pPr>
      <w:r>
        <w:lastRenderedPageBreak/>
        <w:t>Despite this remarkable growth, the infrastructure supporting secondary market function for tokenized RWAs remains profoundly underdeveloped. The market has, in effect, built an enormous supply-side infrastructure — issuance platforms, blockchain rails, custody solutions, oracle networks, compliance frameworks — while leaving the demand-side infrastructure almost entirely unbuilt.</w:t>
      </w:r>
    </w:p>
    <w:p w14:paraId="577B8403" w14:textId="77777777" w:rsidR="00F63DB9" w:rsidRDefault="00000000">
      <w:pPr>
        <w:spacing w:before="60" w:after="120" w:line="320" w:lineRule="auto"/>
      </w:pPr>
      <w:r>
        <w:t>The result is a market with $30 billion in outstanding instruments and no standardized mechanism for understanding, measuring, or improving the liquidity of those instruments after issuance. This is precisely the condition that RWALS is designed to address.</w:t>
      </w:r>
    </w:p>
    <w:p w14:paraId="38843E62" w14:textId="77777777" w:rsidR="00F63DB9" w:rsidRDefault="00000000">
      <w:pPr>
        <w:spacing w:before="60" w:after="120" w:line="320" w:lineRule="auto"/>
      </w:pPr>
      <w:r>
        <w:t>To understand why this matters, consider the trajectory of the bond market. Bonds existed for centuries before TRACE — the Financial Industry Regulatory Authority's Trade Reporting and Compliance Engine, launched in 2002. Before TRACE, bond market price transparency was effectively zero. Dealers quoted bilateral prices. No public record of executed trades existed. Spreads were wide. Retail investors were systematically disadvantaged. Institutions managed through proprietary relationships and estimations.</w:t>
      </w:r>
    </w:p>
    <w:p w14:paraId="445A0BFE" w14:textId="77777777" w:rsidR="00F63DB9" w:rsidRDefault="00000000">
      <w:pPr>
        <w:spacing w:before="60" w:after="120" w:line="320" w:lineRule="auto"/>
      </w:pPr>
      <w:r>
        <w:t>TRACE changed everything. Within five years of TRACE's launch, academic studies documented that corporate bond spreads had compressed by 50% or more for affected securities. The mechanism was simple: transparency creates competition, competition compresses spreads, compressed spreads increase market participation, increased participation deepens liquidity. A virtuous cycle, initiated by a single data standard.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63DB9" w14:paraId="679912A0" w14:textId="77777777">
        <w:tblPrEx>
          <w:tblCellMar>
            <w:top w:w="0" w:type="dxa"/>
            <w:bottom w:w="0" w:type="dxa"/>
          </w:tblCellMar>
        </w:tblPrEx>
        <w:tc>
          <w:tcPr>
            <w:tcW w:w="9360" w:type="dxa"/>
            <w:tcBorders>
              <w:top w:val="single" w:sz="1" w:space="0" w:color="2563EB"/>
              <w:left w:val="single" w:sz="12" w:space="0" w:color="2563EB"/>
              <w:bottom w:val="single" w:sz="1" w:space="0" w:color="2563EB"/>
            </w:tcBorders>
            <w:shd w:val="clear" w:color="auto" w:fill="EFF6FF"/>
            <w:tcMar>
              <w:top w:w="160" w:type="dxa"/>
              <w:left w:w="240" w:type="dxa"/>
              <w:bottom w:w="160" w:type="dxa"/>
              <w:right w:w="240" w:type="dxa"/>
            </w:tcMar>
          </w:tcPr>
          <w:p w14:paraId="4D8AF9AC" w14:textId="77777777" w:rsidR="00F63DB9" w:rsidRDefault="00000000">
            <w:pPr>
              <w:spacing w:line="300" w:lineRule="auto"/>
            </w:pPr>
            <w:r>
              <w:rPr>
                <w:color w:val="0A1628"/>
              </w:rPr>
              <w:t>Tokenized RWA secondary markets are pre-TRACE. RWALS is the first step toward building the transparency infrastructure that will unleash institutional capital, compress liquidity premiums, and create genuinely functional secondary markets for the first time in tokenized finance.</w:t>
            </w:r>
          </w:p>
        </w:tc>
      </w:tr>
    </w:tbl>
    <w:p w14:paraId="766C677A" w14:textId="77777777" w:rsidR="00F63DB9" w:rsidRDefault="00000000">
      <w:r>
        <w:br w:type="page"/>
      </w:r>
    </w:p>
    <w:p w14:paraId="37CAADFB" w14:textId="77777777" w:rsidR="00F63DB9" w:rsidRDefault="00000000">
      <w:pPr>
        <w:pStyle w:val="Heading1"/>
      </w:pPr>
      <w:r>
        <w:lastRenderedPageBreak/>
        <w:t>Chapter 2: The Liquidity Blindspot</w:t>
      </w:r>
    </w:p>
    <w:p w14:paraId="758136FE" w14:textId="77777777" w:rsidR="00F63DB9" w:rsidRDefault="00000000">
      <w:pPr>
        <w:pStyle w:val="Heading2"/>
        <w:pBdr>
          <w:bottom w:val="single" w:sz="4" w:space="4" w:color="CBD5E1"/>
        </w:pBdr>
      </w:pPr>
      <w:r>
        <w:t>2.1 Defining the Problem Precisely</w:t>
      </w:r>
    </w:p>
    <w:p w14:paraId="7927B30B" w14:textId="77777777" w:rsidR="00F63DB9" w:rsidRDefault="00000000">
      <w:pPr>
        <w:spacing w:before="60" w:after="120" w:line="320" w:lineRule="auto"/>
      </w:pPr>
      <w:r>
        <w:t>Before proposing a solution, it is essential to define the problem with precision. The term "liquidity" is used broadly in financial discourse to mean many different things. For the purposes of RWALS, liquidity is defined as follows:</w:t>
      </w:r>
    </w:p>
    <w:p w14:paraId="030CA81B" w14:textId="77777777" w:rsidR="00F63DB9" w:rsidRDefault="00000000">
      <w:pPr>
        <w:spacing w:after="60" w:line="276" w:lineRule="auto"/>
      </w:pPr>
      <w:r>
        <w:rPr>
          <w:sz w:val="24"/>
          <w:szCs w:val="24"/>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63DB9" w14:paraId="0402F03B" w14:textId="77777777">
        <w:tblPrEx>
          <w:tblCellMar>
            <w:top w:w="0" w:type="dxa"/>
            <w:bottom w:w="0" w:type="dxa"/>
          </w:tblCellMar>
        </w:tblPrEx>
        <w:tc>
          <w:tcPr>
            <w:tcW w:w="9360" w:type="dxa"/>
            <w:tcBorders>
              <w:top w:val="single" w:sz="1" w:space="0" w:color="1A3A6B"/>
              <w:left w:val="single" w:sz="12" w:space="0" w:color="1A3A6B"/>
              <w:bottom w:val="single" w:sz="1" w:space="0" w:color="1A3A6B"/>
            </w:tcBorders>
            <w:shd w:val="clear" w:color="auto" w:fill="F1F5F9"/>
            <w:tcMar>
              <w:top w:w="160" w:type="dxa"/>
              <w:left w:w="240" w:type="dxa"/>
              <w:bottom w:w="160" w:type="dxa"/>
              <w:right w:w="240" w:type="dxa"/>
            </w:tcMar>
          </w:tcPr>
          <w:p w14:paraId="1799D812" w14:textId="77777777" w:rsidR="00F63DB9" w:rsidRDefault="00000000">
            <w:pPr>
              <w:spacing w:line="300" w:lineRule="auto"/>
            </w:pPr>
            <w:r>
              <w:rPr>
                <w:color w:val="0A1628"/>
              </w:rPr>
              <w:t>RWALS Definition of Liquidity: The ability of a holder of a tokenized real-world asset to convert their position to cash or a liquid stablecoin equivalent, within a defined timeframe, at a predictable and acceptable discount to the asset's last published net asset value (NAV), without materially disrupting the market for that asset.</w:t>
            </w:r>
          </w:p>
        </w:tc>
      </w:tr>
    </w:tbl>
    <w:p w14:paraId="7FC6A8B3" w14:textId="77777777" w:rsidR="00F63DB9" w:rsidRDefault="00000000">
      <w:pPr>
        <w:spacing w:after="120" w:line="276" w:lineRule="auto"/>
      </w:pPr>
      <w:r>
        <w:rPr>
          <w:sz w:val="24"/>
          <w:szCs w:val="24"/>
        </w:rPr>
        <w:t xml:space="preserve"> </w:t>
      </w:r>
    </w:p>
    <w:p w14:paraId="0342CDBF" w14:textId="77777777" w:rsidR="00F63DB9" w:rsidRDefault="00000000">
      <w:pPr>
        <w:spacing w:before="60" w:after="120" w:line="320" w:lineRule="auto"/>
      </w:pPr>
      <w:r>
        <w:t>This definition has four components, each of which matters independently:</w:t>
      </w:r>
    </w:p>
    <w:p w14:paraId="34DBCF76" w14:textId="77777777" w:rsidR="00F63DB9" w:rsidRDefault="00000000">
      <w:pPr>
        <w:pStyle w:val="ListParagraph"/>
        <w:numPr>
          <w:ilvl w:val="0"/>
          <w:numId w:val="2"/>
        </w:numPr>
        <w:spacing w:before="60" w:after="60" w:line="300" w:lineRule="auto"/>
      </w:pPr>
      <w:r>
        <w:t xml:space="preserve">Conversion to cash or liquid stablecoin equivalent — the ultimate measure of liquidity is </w:t>
      </w:r>
      <w:proofErr w:type="gramStart"/>
      <w:r>
        <w:t>exit</w:t>
      </w:r>
      <w:proofErr w:type="gramEnd"/>
      <w:r>
        <w:t xml:space="preserve"> optionality</w:t>
      </w:r>
    </w:p>
    <w:p w14:paraId="6FB2A8C0" w14:textId="77777777" w:rsidR="00F63DB9" w:rsidRDefault="00000000">
      <w:pPr>
        <w:pStyle w:val="ListParagraph"/>
        <w:numPr>
          <w:ilvl w:val="0"/>
          <w:numId w:val="2"/>
        </w:numPr>
        <w:spacing w:before="60" w:after="60" w:line="300" w:lineRule="auto"/>
      </w:pPr>
      <w:r>
        <w:t>Within a defined timeframe — liquidity is time-dependent; same-day liquidity and 12-month liquidity are fundamentally different</w:t>
      </w:r>
    </w:p>
    <w:p w14:paraId="3400B826" w14:textId="77777777" w:rsidR="00F63DB9" w:rsidRDefault="00000000">
      <w:pPr>
        <w:pStyle w:val="ListParagraph"/>
        <w:numPr>
          <w:ilvl w:val="0"/>
          <w:numId w:val="2"/>
        </w:numPr>
        <w:spacing w:before="60" w:after="60" w:line="300" w:lineRule="auto"/>
      </w:pPr>
      <w:r>
        <w:t>At a predictable and acceptable discount to NAV — the existence of a discount is acceptable; the unpredictability of the discount is the problem</w:t>
      </w:r>
    </w:p>
    <w:p w14:paraId="1AA560F3" w14:textId="77777777" w:rsidR="00F63DB9" w:rsidRDefault="00000000">
      <w:pPr>
        <w:pStyle w:val="ListParagraph"/>
        <w:numPr>
          <w:ilvl w:val="0"/>
          <w:numId w:val="2"/>
        </w:numPr>
        <w:spacing w:before="60" w:after="60" w:line="300" w:lineRule="auto"/>
      </w:pPr>
      <w:r>
        <w:t>Without materially disrupting the market — the ability to exit must not destroy the asset's price in the process</w:t>
      </w:r>
    </w:p>
    <w:p w14:paraId="55850745" w14:textId="77777777" w:rsidR="00F63DB9" w:rsidRDefault="00000000">
      <w:pPr>
        <w:spacing w:after="80" w:line="276" w:lineRule="auto"/>
      </w:pPr>
      <w:r>
        <w:rPr>
          <w:sz w:val="24"/>
          <w:szCs w:val="24"/>
        </w:rPr>
        <w:t xml:space="preserve"> </w:t>
      </w:r>
    </w:p>
    <w:p w14:paraId="6B74B65C" w14:textId="77777777" w:rsidR="00F63DB9" w:rsidRDefault="00000000">
      <w:pPr>
        <w:pStyle w:val="Heading2"/>
        <w:pBdr>
          <w:bottom w:val="single" w:sz="4" w:space="4" w:color="CBD5E1"/>
        </w:pBdr>
      </w:pPr>
      <w:r>
        <w:t>2.2 Why This Is the #1 Institutional Adoption Blocker</w:t>
      </w:r>
    </w:p>
    <w:p w14:paraId="7784CE85" w14:textId="77777777" w:rsidR="00F63DB9" w:rsidRDefault="00000000">
      <w:pPr>
        <w:spacing w:before="60" w:after="120" w:line="320" w:lineRule="auto"/>
      </w:pPr>
      <w:r>
        <w:t>Interviews with institutional allocators, family offices, and DeFi protocol risk managers consistently surface the same concern: the absence of secondary market liquidity data is the primary barrier to larger RWA allocations.</w:t>
      </w:r>
    </w:p>
    <w:p w14:paraId="3CF3C21F" w14:textId="77777777" w:rsidR="00F63DB9" w:rsidRDefault="00000000">
      <w:pPr>
        <w:spacing w:before="60" w:after="120" w:line="320" w:lineRule="auto"/>
      </w:pPr>
      <w:r>
        <w:t>The logic is straightforward. Every institutional investor, regardless of their investment mandate, operates within a risk management framework that requires the ability to model exit scenarios. For public equities, this is trivial: order book depth, average daily volume, market impact estimates, and bid-ask spreads are all publicly available in real time. For investment-grade corporate bonds post-TRACE, similar data is available. For tokenized RWAs, this data does not exist in any standardized form.</w:t>
      </w:r>
    </w:p>
    <w:p w14:paraId="6E6AF833" w14:textId="77777777" w:rsidR="00F63DB9" w:rsidRDefault="00000000">
      <w:pPr>
        <w:spacing w:before="60" w:after="120" w:line="320" w:lineRule="auto"/>
      </w:pPr>
      <w:r>
        <w:lastRenderedPageBreak/>
        <w:t xml:space="preserve">The consequence is that every allocation to a tokenized RWA carries an unknown liquidity premium — an unquantified discount that sophisticated investors apply to assets whose exit optionality cannot be modeled. This premium is substantial. Academic work on illiquidity premiums in private markets suggests that investors typically demand 200-400 basis points of additional yield to compensate for the absence of reliable exit mechanisms. In a world of tightening credit </w:t>
      </w:r>
      <w:proofErr w:type="gramStart"/>
      <w:r>
        <w:t>spreads, that</w:t>
      </w:r>
      <w:proofErr w:type="gramEnd"/>
      <w:r>
        <w:t xml:space="preserve"> liquidity premium is a meaningful drag on RWA adoption.</w:t>
      </w:r>
    </w:p>
    <w:p w14:paraId="18C0ADAC" w14:textId="77777777" w:rsidR="00F63DB9" w:rsidRDefault="00000000">
      <w:pPr>
        <w:pStyle w:val="Heading2"/>
        <w:pBdr>
          <w:bottom w:val="single" w:sz="4" w:space="4" w:color="CBD5E1"/>
        </w:pBdr>
      </w:pPr>
      <w:r>
        <w:t>2.3 The Specific Failure Modes</w:t>
      </w:r>
    </w:p>
    <w:p w14:paraId="32D35DC0" w14:textId="77777777" w:rsidR="00F63DB9" w:rsidRDefault="00000000">
      <w:pPr>
        <w:pStyle w:val="Heading3"/>
      </w:pPr>
      <w:r>
        <w:t>2.3.1 No Secondary Market Price Discovery</w:t>
      </w:r>
    </w:p>
    <w:p w14:paraId="71C0666A" w14:textId="77777777" w:rsidR="00F63DB9" w:rsidRDefault="00000000">
      <w:pPr>
        <w:spacing w:before="60" w:after="120" w:line="320" w:lineRule="auto"/>
      </w:pPr>
      <w:r>
        <w:t xml:space="preserve">For a tokenized private credit pool, the only published price is the NAV calculated by the issuer, typically </w:t>
      </w:r>
      <w:proofErr w:type="gramStart"/>
      <w:r>
        <w:t>on a monthly basis</w:t>
      </w:r>
      <w:proofErr w:type="gramEnd"/>
      <w:r>
        <w:t xml:space="preserve">. There is no mechanism to determine whether this NAV reflects the price at which an actual secondary transaction would clear. In illiquid private credit markets, the true market clearing price may be 10-30% below stated NAV, but no investor can know this without attempting to </w:t>
      </w:r>
      <w:proofErr w:type="gramStart"/>
      <w:r>
        <w:t>actually sell</w:t>
      </w:r>
      <w:proofErr w:type="gramEnd"/>
      <w:r>
        <w:t>.</w:t>
      </w:r>
    </w:p>
    <w:p w14:paraId="7D25DE46" w14:textId="77777777" w:rsidR="00F63DB9" w:rsidRDefault="00000000">
      <w:pPr>
        <w:pStyle w:val="Heading3"/>
      </w:pPr>
      <w:r>
        <w:t>2.3.2 Opaque Redemption Mechanics</w:t>
      </w:r>
    </w:p>
    <w:p w14:paraId="30CD27AE" w14:textId="77777777" w:rsidR="00F63DB9" w:rsidRDefault="00000000">
      <w:pPr>
        <w:spacing w:before="60" w:after="120" w:line="320" w:lineRule="auto"/>
      </w:pPr>
      <w:r>
        <w:t>Redemption terms across tokenized RWA issuers vary enormously. Some products offer daily redemption at NAV. Others have weekly, monthly, or quarterly redemption windows. Others operate withdrawal queues that may take months to process. Others have hard lock-up periods with no redemption mechanism at all for specified periods. None of this information is synthesized in a standard, comparable format.</w:t>
      </w:r>
    </w:p>
    <w:p w14:paraId="4978089D" w14:textId="77777777" w:rsidR="00F63DB9" w:rsidRDefault="00000000">
      <w:pPr>
        <w:pStyle w:val="Heading3"/>
      </w:pPr>
      <w:r>
        <w:t>2.3.3 Transfer Restriction Complexity</w:t>
      </w:r>
    </w:p>
    <w:p w14:paraId="1CEF570A" w14:textId="77777777" w:rsidR="00F63DB9" w:rsidRDefault="00000000">
      <w:pPr>
        <w:spacing w:before="60" w:after="120" w:line="320" w:lineRule="auto"/>
      </w:pPr>
      <w:r>
        <w:t xml:space="preserve">Many tokenized RWA instruments are issued on </w:t>
      </w:r>
      <w:proofErr w:type="gramStart"/>
      <w:r>
        <w:t>permissioned</w:t>
      </w:r>
      <w:proofErr w:type="gramEnd"/>
      <w:r>
        <w:t xml:space="preserve"> or semi-permissioned rails. Transfers may require both sender and recipient to be on a whitelist. In some cases, transfers between secondary holders are prohibited entirely, with the only exit mechanism being redemption through the issuer. These restrictions, which dramatically affect actual liquidity, are disclosed in lengthy legal documentation that no investor systematically reads and no data provider systematically synthesizes.</w:t>
      </w:r>
    </w:p>
    <w:p w14:paraId="24EAD29B" w14:textId="77777777" w:rsidR="00F63DB9" w:rsidRDefault="00000000">
      <w:pPr>
        <w:pStyle w:val="Heading3"/>
      </w:pPr>
      <w:r>
        <w:t>2.3.4 DeFi Protocol Risk Accumulation</w:t>
      </w:r>
    </w:p>
    <w:p w14:paraId="5F9E5215" w14:textId="77777777" w:rsidR="00F63DB9" w:rsidRDefault="00000000">
      <w:pPr>
        <w:spacing w:before="60" w:after="120" w:line="320" w:lineRule="auto"/>
      </w:pPr>
      <w:r>
        <w:t xml:space="preserve">Perhaps the most systemically dangerous aspect of the current liquidity data gap is the collateral risk it creates in DeFi protocols. Morpho, Euler, </w:t>
      </w:r>
      <w:proofErr w:type="spellStart"/>
      <w:r>
        <w:t>Aave</w:t>
      </w:r>
      <w:proofErr w:type="spellEnd"/>
      <w:r>
        <w:t xml:space="preserve">, and other protocols are accepting tokenized RWAs as collateral for loans. Each protocol's risk team is individually assessing RWA collateral quality — a time-consuming, methodologically inconsistent process that is impossible to validate or compare across protocols. If a major RWA collateral asset </w:t>
      </w:r>
      <w:r>
        <w:lastRenderedPageBreak/>
        <w:t>experiences a liquidity crisis, the protocols holding it as collateral could face cascading liquidation failures.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63DB9" w14:paraId="76BFEE4F" w14:textId="77777777">
        <w:tblPrEx>
          <w:tblCellMar>
            <w:top w:w="0" w:type="dxa"/>
            <w:bottom w:w="0" w:type="dxa"/>
          </w:tblCellMar>
        </w:tblPrEx>
        <w:tc>
          <w:tcPr>
            <w:tcW w:w="9360" w:type="dxa"/>
            <w:tcBorders>
              <w:top w:val="single" w:sz="1" w:space="0" w:color="DC2626"/>
              <w:left w:val="single" w:sz="12" w:space="0" w:color="DC2626"/>
              <w:bottom w:val="single" w:sz="1" w:space="0" w:color="DC2626"/>
            </w:tcBorders>
            <w:shd w:val="clear" w:color="auto" w:fill="EFF6FF"/>
            <w:tcMar>
              <w:top w:w="160" w:type="dxa"/>
              <w:left w:w="240" w:type="dxa"/>
              <w:bottom w:w="160" w:type="dxa"/>
              <w:right w:w="240" w:type="dxa"/>
            </w:tcMar>
          </w:tcPr>
          <w:p w14:paraId="57BFDE4C" w14:textId="77777777" w:rsidR="00F63DB9" w:rsidRDefault="00000000">
            <w:pPr>
              <w:spacing w:line="300" w:lineRule="auto"/>
            </w:pPr>
            <w:r>
              <w:rPr>
                <w:color w:val="0A1628"/>
              </w:rPr>
              <w:t>The absence of standardized RWA liquidity data is not merely an inconvenience for individual investors. It is a growing systemic risk for the entire DeFi ecosystem.</w:t>
            </w:r>
          </w:p>
        </w:tc>
      </w:tr>
    </w:tbl>
    <w:p w14:paraId="3C2651B3" w14:textId="77777777" w:rsidR="00F63DB9" w:rsidRDefault="00000000">
      <w:r>
        <w:br w:type="page"/>
      </w:r>
    </w:p>
    <w:p w14:paraId="25190364" w14:textId="77777777" w:rsidR="00F63DB9" w:rsidRDefault="00000000">
      <w:pPr>
        <w:pStyle w:val="Heading1"/>
      </w:pPr>
      <w:r>
        <w:lastRenderedPageBreak/>
        <w:t>Chapter 3: Prior Art and Existing Solutions</w:t>
      </w:r>
    </w:p>
    <w:p w14:paraId="4BA3D21E" w14:textId="77777777" w:rsidR="00F63DB9" w:rsidRDefault="00000000">
      <w:pPr>
        <w:pStyle w:val="Heading2"/>
        <w:pBdr>
          <w:bottom w:val="single" w:sz="4" w:space="4" w:color="CBD5E1"/>
        </w:pBdr>
      </w:pPr>
      <w:r>
        <w:t>3.1 What Exists Today</w:t>
      </w:r>
    </w:p>
    <w:p w14:paraId="66C0AAFA" w14:textId="77777777" w:rsidR="00F63DB9" w:rsidRDefault="00000000">
      <w:pPr>
        <w:spacing w:before="60" w:after="120" w:line="320" w:lineRule="auto"/>
      </w:pPr>
      <w:r>
        <w:t>A fair analysis requires a thorough review of existing data products and their limitations with respect to RWA secondary market liquidity specifically.</w:t>
      </w:r>
    </w:p>
    <w:p w14:paraId="086C301C" w14:textId="77777777" w:rsidR="00F63DB9" w:rsidRDefault="00000000">
      <w:pPr>
        <w:pStyle w:val="Heading3"/>
      </w:pPr>
      <w:r>
        <w:t xml:space="preserve">3.1.1 </w:t>
      </w:r>
      <w:proofErr w:type="spellStart"/>
      <w:r>
        <w:t>RWA.xyz</w:t>
      </w:r>
      <w:proofErr w:type="spellEnd"/>
      <w:r>
        <w:t xml:space="preserve"> — Issuance Intelligence</w:t>
      </w:r>
    </w:p>
    <w:p w14:paraId="397E5C3E" w14:textId="77777777" w:rsidR="00F63DB9" w:rsidRDefault="00000000">
      <w:pPr>
        <w:spacing w:before="60" w:after="120" w:line="320" w:lineRule="auto"/>
      </w:pPr>
      <w:proofErr w:type="spellStart"/>
      <w:r>
        <w:t>Rwa.xyz</w:t>
      </w:r>
      <w:proofErr w:type="spellEnd"/>
      <w:r>
        <w:t xml:space="preserve"> is the authoritative data platform for the tokenized RWA ecosystem. It tracks issuance TVL, holder counts, platform analytics, chain-level data, and fund </w:t>
      </w:r>
      <w:proofErr w:type="gramStart"/>
      <w:r>
        <w:t>flows</w:t>
      </w:r>
      <w:proofErr w:type="gramEnd"/>
      <w:r>
        <w:t xml:space="preserve"> for the full universe of tokenized assets. It is the closest equivalent to Bloomberg for RWA supply-side data.</w:t>
      </w:r>
    </w:p>
    <w:p w14:paraId="3FA58799" w14:textId="77777777" w:rsidR="00F63DB9" w:rsidRDefault="00000000">
      <w:pPr>
        <w:spacing w:before="60" w:after="120" w:line="320" w:lineRule="auto"/>
      </w:pPr>
      <w:r>
        <w:t xml:space="preserve">What </w:t>
      </w:r>
      <w:proofErr w:type="spellStart"/>
      <w:r>
        <w:t>rwa.xyz</w:t>
      </w:r>
      <w:proofErr w:type="spellEnd"/>
      <w:r>
        <w:t xml:space="preserve"> explicitly does not track: secondary market trading activity, price-to-NAV dynamics, bid-ask spreads, redemption queue depths, or any measure of secondary market liquidity. This is not a criticism — it is a deliberate product boundary. RWALS is designed as a complementary data layer, not a competitor.</w:t>
      </w:r>
    </w:p>
    <w:p w14:paraId="4C4FC096" w14:textId="77777777" w:rsidR="00F63DB9" w:rsidRDefault="00000000">
      <w:pPr>
        <w:pStyle w:val="Heading3"/>
      </w:pPr>
      <w:r>
        <w:t xml:space="preserve">3.1.2 </w:t>
      </w:r>
      <w:proofErr w:type="spellStart"/>
      <w:r>
        <w:t>CoinMarketCap</w:t>
      </w:r>
      <w:proofErr w:type="spellEnd"/>
      <w:r>
        <w:t xml:space="preserve"> Liquidity Score</w:t>
      </w:r>
    </w:p>
    <w:p w14:paraId="2A9C29B0" w14:textId="77777777" w:rsidR="00F63DB9" w:rsidRDefault="00000000">
      <w:pPr>
        <w:spacing w:before="60" w:after="120" w:line="320" w:lineRule="auto"/>
      </w:pPr>
      <w:proofErr w:type="spellStart"/>
      <w:r>
        <w:t>CoinMarketCap</w:t>
      </w:r>
      <w:proofErr w:type="spellEnd"/>
      <w:r>
        <w:t xml:space="preserve"> publishes a Liquidity Score for cryptocurrency trading pairs on centralized exchanges. This score measures order book depth and slippage for crypto spot trading pairs — for example, the liquidity of the BTC/USD pair on Binance. It is an excellent product for its intended purpose.</w:t>
      </w:r>
    </w:p>
    <w:p w14:paraId="43F80DB1" w14:textId="77777777" w:rsidR="00F63DB9" w:rsidRDefault="00000000">
      <w:pPr>
        <w:spacing w:before="60" w:after="120" w:line="320" w:lineRule="auto"/>
      </w:pPr>
      <w:proofErr w:type="spellStart"/>
      <w:r>
        <w:t>CoinMarketCap's</w:t>
      </w:r>
      <w:proofErr w:type="spellEnd"/>
      <w:r>
        <w:t xml:space="preserve"> Liquidity Score is categorically inapplicable to </w:t>
      </w:r>
      <w:proofErr w:type="gramStart"/>
      <w:r>
        <w:t>tokenized</w:t>
      </w:r>
      <w:proofErr w:type="gramEnd"/>
      <w:r>
        <w:t xml:space="preserve"> RWAs. It measures slippage in live order books for liquid crypto assets. Tokenized RWA instruments typically have no live order books, no spot DEX markets of meaningful depth, and fundamentally different exit mechanics (issuer redemption vs. exchange trading). The problem space and the methodology required are entirely different.</w:t>
      </w:r>
    </w:p>
    <w:p w14:paraId="1E322774" w14:textId="77777777" w:rsidR="00F63DB9" w:rsidRDefault="00000000">
      <w:pPr>
        <w:pStyle w:val="Heading3"/>
      </w:pPr>
      <w:r>
        <w:t xml:space="preserve">3.1.3 </w:t>
      </w:r>
      <w:proofErr w:type="spellStart"/>
      <w:r>
        <w:t>DeFiLlama</w:t>
      </w:r>
      <w:proofErr w:type="spellEnd"/>
      <w:r>
        <w:t xml:space="preserve"> and On-Chain Analytics</w:t>
      </w:r>
    </w:p>
    <w:p w14:paraId="0520530D" w14:textId="77777777" w:rsidR="00F63DB9" w:rsidRDefault="00000000">
      <w:pPr>
        <w:spacing w:before="60" w:after="120" w:line="320" w:lineRule="auto"/>
      </w:pPr>
      <w:proofErr w:type="spellStart"/>
      <w:r>
        <w:t>DeFiLlama</w:t>
      </w:r>
      <w:proofErr w:type="spellEnd"/>
      <w:r>
        <w:t xml:space="preserve"> and similar on-chain analytics platforms track TVL, protocol flows, and yield data. They provide valuable context for understanding RWA collateral usage in DeFi. They do not provide standardized liquidity scoring for individual RWA instruments.</w:t>
      </w:r>
    </w:p>
    <w:p w14:paraId="441EDF42" w14:textId="77777777" w:rsidR="00F63DB9" w:rsidRDefault="00000000">
      <w:pPr>
        <w:pStyle w:val="Heading3"/>
      </w:pPr>
      <w:r>
        <w:t>3.1.4 Traditional Credit Rating Agencies</w:t>
      </w:r>
    </w:p>
    <w:p w14:paraId="6F67B007" w14:textId="77777777" w:rsidR="00F63DB9" w:rsidRDefault="00000000">
      <w:pPr>
        <w:spacing w:before="60" w:after="120" w:line="320" w:lineRule="auto"/>
      </w:pPr>
      <w:r>
        <w:t>Moody's, S&amp;P, and Fitch provide credit ratings for some tokenized instruments, particularly those from established issuers like BlackRock and Franklin Templeton. Credit ratings assess creditworthiness and probability of default — they do not assess secondary market liquidity. An instrument can have an AAA credit rating and a RWALS score of 10 (BUIDL is an example: exceptional credit quality, very limited secondary market exit mechanisms).</w:t>
      </w:r>
    </w:p>
    <w:p w14:paraId="77D90090" w14:textId="77777777" w:rsidR="00F63DB9" w:rsidRDefault="00000000">
      <w:pPr>
        <w:pStyle w:val="Heading2"/>
        <w:pBdr>
          <w:bottom w:val="single" w:sz="4" w:space="4" w:color="CBD5E1"/>
        </w:pBdr>
      </w:pPr>
      <w:r>
        <w:lastRenderedPageBreak/>
        <w:t>3.2 The Gap</w:t>
      </w:r>
    </w:p>
    <w:p w14:paraId="5AF7969D" w14:textId="77777777" w:rsidR="00F63DB9" w:rsidRDefault="00000000">
      <w:pPr>
        <w:spacing w:before="60" w:after="120" w:line="320" w:lineRule="auto"/>
      </w:pPr>
      <w:r>
        <w:t>The review of existing solutions confirms the thesis: no standardized secondary market liquidity scoring system exists for tokenized real-world assets. RWALS fills a gap that is entirely unaddressed by any existing data product.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300"/>
        <w:gridCol w:w="1300"/>
        <w:gridCol w:w="1300"/>
        <w:gridCol w:w="1300"/>
        <w:gridCol w:w="1760"/>
      </w:tblGrid>
      <w:tr w:rsidR="00F63DB9" w14:paraId="3F755C33" w14:textId="77777777">
        <w:tblPrEx>
          <w:tblCellMar>
            <w:top w:w="0" w:type="dxa"/>
            <w:bottom w:w="0" w:type="dxa"/>
          </w:tblCellMar>
        </w:tblPrEx>
        <w:trPr>
          <w:tblHeader/>
        </w:trPr>
        <w:tc>
          <w:tcPr>
            <w:tcW w:w="24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6759DA14" w14:textId="77777777" w:rsidR="00F63DB9" w:rsidRDefault="00000000">
            <w:pPr>
              <w:jc w:val="center"/>
            </w:pPr>
            <w:r>
              <w:rPr>
                <w:b/>
                <w:bCs/>
                <w:color w:val="FFFFFF"/>
                <w:sz w:val="18"/>
                <w:szCs w:val="18"/>
              </w:rPr>
              <w:t>Data Product</w:t>
            </w:r>
          </w:p>
        </w:tc>
        <w:tc>
          <w:tcPr>
            <w:tcW w:w="13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7D101152" w14:textId="77777777" w:rsidR="00F63DB9" w:rsidRDefault="00000000">
            <w:pPr>
              <w:jc w:val="center"/>
            </w:pPr>
            <w:r>
              <w:rPr>
                <w:b/>
                <w:bCs/>
                <w:color w:val="FFFFFF"/>
                <w:sz w:val="18"/>
                <w:szCs w:val="18"/>
              </w:rPr>
              <w:t>Issuance Data</w:t>
            </w:r>
          </w:p>
        </w:tc>
        <w:tc>
          <w:tcPr>
            <w:tcW w:w="13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6C7571BE" w14:textId="77777777" w:rsidR="00F63DB9" w:rsidRDefault="00000000">
            <w:pPr>
              <w:jc w:val="center"/>
            </w:pPr>
            <w:r>
              <w:rPr>
                <w:b/>
                <w:bCs/>
                <w:color w:val="FFFFFF"/>
                <w:sz w:val="18"/>
                <w:szCs w:val="18"/>
              </w:rPr>
              <w:t>Credit Quality</w:t>
            </w:r>
          </w:p>
        </w:tc>
        <w:tc>
          <w:tcPr>
            <w:tcW w:w="13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70998912" w14:textId="77777777" w:rsidR="00F63DB9" w:rsidRDefault="00000000">
            <w:pPr>
              <w:jc w:val="center"/>
            </w:pPr>
            <w:r>
              <w:rPr>
                <w:b/>
                <w:bCs/>
                <w:color w:val="FFFFFF"/>
                <w:sz w:val="18"/>
                <w:szCs w:val="18"/>
              </w:rPr>
              <w:t>RWA Secondary Liquidity</w:t>
            </w:r>
          </w:p>
        </w:tc>
        <w:tc>
          <w:tcPr>
            <w:tcW w:w="13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4D2C6BE7" w14:textId="77777777" w:rsidR="00F63DB9" w:rsidRDefault="00000000">
            <w:pPr>
              <w:jc w:val="center"/>
            </w:pPr>
            <w:r>
              <w:rPr>
                <w:b/>
                <w:bCs/>
                <w:color w:val="FFFFFF"/>
                <w:sz w:val="18"/>
                <w:szCs w:val="18"/>
              </w:rPr>
              <w:t>DeFi Integration</w:t>
            </w:r>
          </w:p>
        </w:tc>
        <w:tc>
          <w:tcPr>
            <w:tcW w:w="176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3C345A34" w14:textId="77777777" w:rsidR="00F63DB9" w:rsidRDefault="00000000">
            <w:pPr>
              <w:jc w:val="center"/>
            </w:pPr>
            <w:r>
              <w:rPr>
                <w:b/>
                <w:bCs/>
                <w:color w:val="FFFFFF"/>
                <w:sz w:val="18"/>
                <w:szCs w:val="18"/>
              </w:rPr>
              <w:t>Open Methodology</w:t>
            </w:r>
          </w:p>
        </w:tc>
      </w:tr>
      <w:tr w:rsidR="00F63DB9" w14:paraId="7C4C4F21" w14:textId="77777777">
        <w:tblPrEx>
          <w:tblCellMar>
            <w:top w:w="0" w:type="dxa"/>
            <w:bottom w:w="0" w:type="dxa"/>
          </w:tblCellMar>
        </w:tblPrEx>
        <w:tc>
          <w:tcPr>
            <w:tcW w:w="24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45EEC2B" w14:textId="77777777" w:rsidR="00F63DB9" w:rsidRDefault="00000000">
            <w:pPr>
              <w:jc w:val="center"/>
            </w:pPr>
            <w:proofErr w:type="spellStart"/>
            <w:r>
              <w:rPr>
                <w:b/>
                <w:bCs/>
                <w:sz w:val="20"/>
                <w:szCs w:val="20"/>
              </w:rPr>
              <w:t>RWA.xyz</w:t>
            </w:r>
            <w:proofErr w:type="spellEnd"/>
          </w:p>
        </w:tc>
        <w:tc>
          <w:tcPr>
            <w:tcW w:w="13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896E6B8" w14:textId="77777777" w:rsidR="00F63DB9" w:rsidRDefault="00000000">
            <w:pPr>
              <w:jc w:val="center"/>
            </w:pPr>
            <w:r>
              <w:rPr>
                <w:color w:val="059669"/>
                <w:sz w:val="20"/>
                <w:szCs w:val="20"/>
              </w:rPr>
              <w:t>YES</w:t>
            </w:r>
          </w:p>
        </w:tc>
        <w:tc>
          <w:tcPr>
            <w:tcW w:w="13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701DE40D" w14:textId="77777777" w:rsidR="00F63DB9" w:rsidRDefault="00000000">
            <w:pPr>
              <w:jc w:val="center"/>
            </w:pPr>
            <w:r>
              <w:rPr>
                <w:color w:val="DC2626"/>
                <w:sz w:val="20"/>
                <w:szCs w:val="20"/>
              </w:rPr>
              <w:t>NO</w:t>
            </w:r>
          </w:p>
        </w:tc>
        <w:tc>
          <w:tcPr>
            <w:tcW w:w="13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45C2C44D" w14:textId="77777777" w:rsidR="00F63DB9" w:rsidRDefault="00000000">
            <w:pPr>
              <w:jc w:val="center"/>
            </w:pPr>
            <w:r>
              <w:rPr>
                <w:color w:val="DC2626"/>
                <w:sz w:val="20"/>
                <w:szCs w:val="20"/>
              </w:rPr>
              <w:t>NO</w:t>
            </w:r>
          </w:p>
        </w:tc>
        <w:tc>
          <w:tcPr>
            <w:tcW w:w="13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5BF1A84B" w14:textId="77777777" w:rsidR="00F63DB9" w:rsidRDefault="00000000">
            <w:pPr>
              <w:jc w:val="center"/>
            </w:pPr>
            <w:r>
              <w:rPr>
                <w:color w:val="D97706"/>
                <w:sz w:val="20"/>
                <w:szCs w:val="20"/>
              </w:rPr>
              <w:t>Partial</w:t>
            </w:r>
          </w:p>
        </w:tc>
        <w:tc>
          <w:tcPr>
            <w:tcW w:w="176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60D23BC8" w14:textId="77777777" w:rsidR="00F63DB9" w:rsidRDefault="00000000">
            <w:pPr>
              <w:jc w:val="center"/>
            </w:pPr>
            <w:r>
              <w:rPr>
                <w:color w:val="DC2626"/>
                <w:sz w:val="20"/>
                <w:szCs w:val="20"/>
              </w:rPr>
              <w:t>NO</w:t>
            </w:r>
          </w:p>
        </w:tc>
      </w:tr>
      <w:tr w:rsidR="00F63DB9" w14:paraId="0EA54E3D" w14:textId="77777777">
        <w:tblPrEx>
          <w:tblCellMar>
            <w:top w:w="0" w:type="dxa"/>
            <w:bottom w:w="0" w:type="dxa"/>
          </w:tblCellMar>
        </w:tblPrEx>
        <w:tc>
          <w:tcPr>
            <w:tcW w:w="24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6849F46" w14:textId="77777777" w:rsidR="00F63DB9" w:rsidRDefault="00000000">
            <w:pPr>
              <w:jc w:val="center"/>
            </w:pPr>
            <w:r>
              <w:rPr>
                <w:b/>
                <w:bCs/>
                <w:sz w:val="20"/>
                <w:szCs w:val="20"/>
              </w:rPr>
              <w:t>CMC Liquidity Score</w:t>
            </w:r>
          </w:p>
        </w:tc>
        <w:tc>
          <w:tcPr>
            <w:tcW w:w="13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8DF04B0" w14:textId="77777777" w:rsidR="00F63DB9" w:rsidRDefault="00000000">
            <w:pPr>
              <w:jc w:val="center"/>
            </w:pPr>
            <w:r>
              <w:rPr>
                <w:color w:val="DC2626"/>
                <w:sz w:val="20"/>
                <w:szCs w:val="20"/>
              </w:rPr>
              <w:t>NO</w:t>
            </w:r>
          </w:p>
        </w:tc>
        <w:tc>
          <w:tcPr>
            <w:tcW w:w="13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EC3BFFD" w14:textId="77777777" w:rsidR="00F63DB9" w:rsidRDefault="00000000">
            <w:pPr>
              <w:jc w:val="center"/>
            </w:pPr>
            <w:r>
              <w:rPr>
                <w:color w:val="DC2626"/>
                <w:sz w:val="20"/>
                <w:szCs w:val="20"/>
              </w:rPr>
              <w:t>NO</w:t>
            </w:r>
          </w:p>
        </w:tc>
        <w:tc>
          <w:tcPr>
            <w:tcW w:w="13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56A8FDB0" w14:textId="77777777" w:rsidR="00F63DB9" w:rsidRDefault="00000000">
            <w:pPr>
              <w:jc w:val="center"/>
            </w:pPr>
            <w:r>
              <w:rPr>
                <w:color w:val="DC2626"/>
                <w:sz w:val="20"/>
                <w:szCs w:val="20"/>
              </w:rPr>
              <w:t>NO</w:t>
            </w:r>
          </w:p>
        </w:tc>
        <w:tc>
          <w:tcPr>
            <w:tcW w:w="13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2C192C4B" w14:textId="77777777" w:rsidR="00F63DB9" w:rsidRDefault="00000000">
            <w:pPr>
              <w:jc w:val="center"/>
            </w:pPr>
            <w:r>
              <w:rPr>
                <w:color w:val="DC2626"/>
                <w:sz w:val="20"/>
                <w:szCs w:val="20"/>
              </w:rPr>
              <w:t>NO</w:t>
            </w:r>
          </w:p>
        </w:tc>
        <w:tc>
          <w:tcPr>
            <w:tcW w:w="17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5CC50D8A" w14:textId="77777777" w:rsidR="00F63DB9" w:rsidRDefault="00000000">
            <w:pPr>
              <w:jc w:val="center"/>
            </w:pPr>
            <w:r>
              <w:rPr>
                <w:color w:val="D97706"/>
                <w:sz w:val="20"/>
                <w:szCs w:val="20"/>
              </w:rPr>
              <w:t>Partial</w:t>
            </w:r>
          </w:p>
        </w:tc>
      </w:tr>
      <w:tr w:rsidR="00F63DB9" w14:paraId="606FE729" w14:textId="77777777">
        <w:tblPrEx>
          <w:tblCellMar>
            <w:top w:w="0" w:type="dxa"/>
            <w:bottom w:w="0" w:type="dxa"/>
          </w:tblCellMar>
        </w:tblPrEx>
        <w:tc>
          <w:tcPr>
            <w:tcW w:w="24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76B72B3C" w14:textId="77777777" w:rsidR="00F63DB9" w:rsidRDefault="00000000">
            <w:pPr>
              <w:jc w:val="center"/>
            </w:pPr>
            <w:r>
              <w:rPr>
                <w:b/>
                <w:bCs/>
                <w:sz w:val="20"/>
                <w:szCs w:val="20"/>
              </w:rPr>
              <w:t>Moody's / S&amp;P</w:t>
            </w:r>
          </w:p>
        </w:tc>
        <w:tc>
          <w:tcPr>
            <w:tcW w:w="13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6C029C06" w14:textId="77777777" w:rsidR="00F63DB9" w:rsidRDefault="00000000">
            <w:pPr>
              <w:jc w:val="center"/>
            </w:pPr>
            <w:r>
              <w:rPr>
                <w:color w:val="DC2626"/>
                <w:sz w:val="20"/>
                <w:szCs w:val="20"/>
              </w:rPr>
              <w:t>NO</w:t>
            </w:r>
          </w:p>
        </w:tc>
        <w:tc>
          <w:tcPr>
            <w:tcW w:w="13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3B287C81" w14:textId="77777777" w:rsidR="00F63DB9" w:rsidRDefault="00000000">
            <w:pPr>
              <w:jc w:val="center"/>
            </w:pPr>
            <w:r>
              <w:rPr>
                <w:color w:val="059669"/>
                <w:sz w:val="20"/>
                <w:szCs w:val="20"/>
              </w:rPr>
              <w:t>YES</w:t>
            </w:r>
          </w:p>
        </w:tc>
        <w:tc>
          <w:tcPr>
            <w:tcW w:w="13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B3D311D" w14:textId="77777777" w:rsidR="00F63DB9" w:rsidRDefault="00000000">
            <w:pPr>
              <w:jc w:val="center"/>
            </w:pPr>
            <w:r>
              <w:rPr>
                <w:color w:val="DC2626"/>
                <w:sz w:val="20"/>
                <w:szCs w:val="20"/>
              </w:rPr>
              <w:t>NO</w:t>
            </w:r>
          </w:p>
        </w:tc>
        <w:tc>
          <w:tcPr>
            <w:tcW w:w="13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591ED9E" w14:textId="77777777" w:rsidR="00F63DB9" w:rsidRDefault="00000000">
            <w:pPr>
              <w:jc w:val="center"/>
            </w:pPr>
            <w:r>
              <w:rPr>
                <w:color w:val="DC2626"/>
                <w:sz w:val="20"/>
                <w:szCs w:val="20"/>
              </w:rPr>
              <w:t>NO</w:t>
            </w:r>
          </w:p>
        </w:tc>
        <w:tc>
          <w:tcPr>
            <w:tcW w:w="176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A559633" w14:textId="77777777" w:rsidR="00F63DB9" w:rsidRDefault="00000000">
            <w:pPr>
              <w:jc w:val="center"/>
            </w:pPr>
            <w:r>
              <w:rPr>
                <w:color w:val="DC2626"/>
                <w:sz w:val="20"/>
                <w:szCs w:val="20"/>
              </w:rPr>
              <w:t>NO</w:t>
            </w:r>
          </w:p>
        </w:tc>
      </w:tr>
      <w:tr w:rsidR="00F63DB9" w14:paraId="063F73FA" w14:textId="77777777">
        <w:tblPrEx>
          <w:tblCellMar>
            <w:top w:w="0" w:type="dxa"/>
            <w:bottom w:w="0" w:type="dxa"/>
          </w:tblCellMar>
        </w:tblPrEx>
        <w:tc>
          <w:tcPr>
            <w:tcW w:w="24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003F86B" w14:textId="77777777" w:rsidR="00F63DB9" w:rsidRDefault="00000000">
            <w:pPr>
              <w:jc w:val="center"/>
            </w:pPr>
            <w:proofErr w:type="spellStart"/>
            <w:r>
              <w:rPr>
                <w:b/>
                <w:bCs/>
                <w:sz w:val="20"/>
                <w:szCs w:val="20"/>
              </w:rPr>
              <w:t>DeFiLlama</w:t>
            </w:r>
            <w:proofErr w:type="spellEnd"/>
          </w:p>
        </w:tc>
        <w:tc>
          <w:tcPr>
            <w:tcW w:w="13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35E099E" w14:textId="77777777" w:rsidR="00F63DB9" w:rsidRDefault="00000000">
            <w:pPr>
              <w:jc w:val="center"/>
            </w:pPr>
            <w:r>
              <w:rPr>
                <w:color w:val="D97706"/>
                <w:sz w:val="20"/>
                <w:szCs w:val="20"/>
              </w:rPr>
              <w:t>Partial</w:t>
            </w:r>
          </w:p>
        </w:tc>
        <w:tc>
          <w:tcPr>
            <w:tcW w:w="13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9A3F00D" w14:textId="77777777" w:rsidR="00F63DB9" w:rsidRDefault="00000000">
            <w:pPr>
              <w:jc w:val="center"/>
            </w:pPr>
            <w:r>
              <w:rPr>
                <w:color w:val="DC2626"/>
                <w:sz w:val="20"/>
                <w:szCs w:val="20"/>
              </w:rPr>
              <w:t>NO</w:t>
            </w:r>
          </w:p>
        </w:tc>
        <w:tc>
          <w:tcPr>
            <w:tcW w:w="13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213D1417" w14:textId="77777777" w:rsidR="00F63DB9" w:rsidRDefault="00000000">
            <w:pPr>
              <w:jc w:val="center"/>
            </w:pPr>
            <w:r>
              <w:rPr>
                <w:color w:val="DC2626"/>
                <w:sz w:val="20"/>
                <w:szCs w:val="20"/>
              </w:rPr>
              <w:t>NO</w:t>
            </w:r>
          </w:p>
        </w:tc>
        <w:tc>
          <w:tcPr>
            <w:tcW w:w="13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F388974" w14:textId="77777777" w:rsidR="00F63DB9" w:rsidRDefault="00000000">
            <w:pPr>
              <w:jc w:val="center"/>
            </w:pPr>
            <w:r>
              <w:rPr>
                <w:color w:val="059669"/>
                <w:sz w:val="20"/>
                <w:szCs w:val="20"/>
              </w:rPr>
              <w:t>YES</w:t>
            </w:r>
          </w:p>
        </w:tc>
        <w:tc>
          <w:tcPr>
            <w:tcW w:w="17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6FDEB79" w14:textId="77777777" w:rsidR="00F63DB9" w:rsidRDefault="00000000">
            <w:pPr>
              <w:jc w:val="center"/>
            </w:pPr>
            <w:r>
              <w:rPr>
                <w:color w:val="DC2626"/>
                <w:sz w:val="20"/>
                <w:szCs w:val="20"/>
              </w:rPr>
              <w:t>NO</w:t>
            </w:r>
          </w:p>
        </w:tc>
      </w:tr>
      <w:tr w:rsidR="00F63DB9" w14:paraId="7F1B9AA8" w14:textId="77777777">
        <w:tblPrEx>
          <w:tblCellMar>
            <w:top w:w="0" w:type="dxa"/>
            <w:bottom w:w="0" w:type="dxa"/>
          </w:tblCellMar>
        </w:tblPrEx>
        <w:tc>
          <w:tcPr>
            <w:tcW w:w="24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4B50EA67" w14:textId="77777777" w:rsidR="00F63DB9" w:rsidRDefault="00000000">
            <w:pPr>
              <w:jc w:val="center"/>
            </w:pPr>
            <w:r>
              <w:rPr>
                <w:b/>
                <w:bCs/>
                <w:sz w:val="20"/>
                <w:szCs w:val="20"/>
              </w:rPr>
              <w:t>RWALS (this paper)</w:t>
            </w:r>
          </w:p>
        </w:tc>
        <w:tc>
          <w:tcPr>
            <w:tcW w:w="13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7A3D4E2D" w14:textId="77777777" w:rsidR="00F63DB9" w:rsidRDefault="00000000">
            <w:pPr>
              <w:jc w:val="center"/>
            </w:pPr>
            <w:r>
              <w:rPr>
                <w:color w:val="DC2626"/>
                <w:sz w:val="20"/>
                <w:szCs w:val="20"/>
              </w:rPr>
              <w:t>NO</w:t>
            </w:r>
          </w:p>
        </w:tc>
        <w:tc>
          <w:tcPr>
            <w:tcW w:w="13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CED0F9B" w14:textId="77777777" w:rsidR="00F63DB9" w:rsidRDefault="00000000">
            <w:pPr>
              <w:jc w:val="center"/>
            </w:pPr>
            <w:r>
              <w:rPr>
                <w:color w:val="D97706"/>
                <w:sz w:val="20"/>
                <w:szCs w:val="20"/>
              </w:rPr>
              <w:t>Partial</w:t>
            </w:r>
          </w:p>
        </w:tc>
        <w:tc>
          <w:tcPr>
            <w:tcW w:w="13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4D7C7F81" w14:textId="77777777" w:rsidR="00F63DB9" w:rsidRDefault="00000000">
            <w:pPr>
              <w:jc w:val="center"/>
            </w:pPr>
            <w:r>
              <w:rPr>
                <w:b/>
                <w:bCs/>
                <w:color w:val="059669"/>
                <w:sz w:val="20"/>
                <w:szCs w:val="20"/>
              </w:rPr>
              <w:t>YES</w:t>
            </w:r>
          </w:p>
        </w:tc>
        <w:tc>
          <w:tcPr>
            <w:tcW w:w="13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3C345BAB" w14:textId="77777777" w:rsidR="00F63DB9" w:rsidRDefault="00000000">
            <w:pPr>
              <w:jc w:val="center"/>
            </w:pPr>
            <w:r>
              <w:rPr>
                <w:color w:val="059669"/>
                <w:sz w:val="20"/>
                <w:szCs w:val="20"/>
              </w:rPr>
              <w:t>YES</w:t>
            </w:r>
          </w:p>
        </w:tc>
        <w:tc>
          <w:tcPr>
            <w:tcW w:w="176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3FAD86DD" w14:textId="77777777" w:rsidR="00F63DB9" w:rsidRDefault="00000000">
            <w:pPr>
              <w:jc w:val="center"/>
            </w:pPr>
            <w:r>
              <w:rPr>
                <w:color w:val="059669"/>
                <w:sz w:val="20"/>
                <w:szCs w:val="20"/>
              </w:rPr>
              <w:t>YES</w:t>
            </w:r>
          </w:p>
        </w:tc>
      </w:tr>
    </w:tbl>
    <w:p w14:paraId="61091F15" w14:textId="77777777" w:rsidR="00F63DB9" w:rsidRDefault="00000000">
      <w:r>
        <w:br w:type="page"/>
      </w:r>
    </w:p>
    <w:p w14:paraId="35FA52CE" w14:textId="77777777" w:rsidR="00F63DB9" w:rsidRDefault="00000000">
      <w:pPr>
        <w:pStyle w:val="Heading1"/>
      </w:pPr>
      <w:r>
        <w:lastRenderedPageBreak/>
        <w:t>Chapter 4: The RWALS Framework — Theoretical Foundations</w:t>
      </w:r>
    </w:p>
    <w:p w14:paraId="5F476B12" w14:textId="77777777" w:rsidR="00F63DB9" w:rsidRDefault="00000000">
      <w:pPr>
        <w:pStyle w:val="Heading2"/>
        <w:pBdr>
          <w:bottom w:val="single" w:sz="4" w:space="4" w:color="CBD5E1"/>
        </w:pBdr>
      </w:pPr>
      <w:r>
        <w:t>4.1 Design Principles</w:t>
      </w:r>
    </w:p>
    <w:p w14:paraId="51E38142" w14:textId="77777777" w:rsidR="00F63DB9" w:rsidRDefault="00000000">
      <w:pPr>
        <w:spacing w:before="60" w:after="120" w:line="320" w:lineRule="auto"/>
      </w:pPr>
      <w:r>
        <w:t>The RWALS framework was designed around six core principles that govern every aspect of the methodology:</w:t>
      </w:r>
    </w:p>
    <w:p w14:paraId="1FE29426" w14:textId="77777777" w:rsidR="00F63DB9" w:rsidRDefault="00000000">
      <w:pPr>
        <w:spacing w:after="60" w:line="276" w:lineRule="auto"/>
      </w:pPr>
      <w:r>
        <w:rPr>
          <w:sz w:val="24"/>
          <w:szCs w:val="24"/>
        </w:rPr>
        <w:t xml:space="preserve"> </w:t>
      </w:r>
    </w:p>
    <w:p w14:paraId="525A411B" w14:textId="77777777" w:rsidR="00F63DB9" w:rsidRDefault="00000000">
      <w:pPr>
        <w:pStyle w:val="Heading3"/>
      </w:pPr>
      <w:r>
        <w:t>Principle 1: Observability</w:t>
      </w:r>
    </w:p>
    <w:p w14:paraId="6B8097B3" w14:textId="77777777" w:rsidR="00F63DB9" w:rsidRDefault="00000000">
      <w:pPr>
        <w:spacing w:before="60" w:after="120" w:line="320" w:lineRule="auto"/>
      </w:pPr>
      <w:r>
        <w:t>Every scoring input must be derivable from publicly observable data. RWALS does not rely on proprietary data feeds, issuer-reported metrics that cannot be independently verified, or subjective assessments. If it cannot be observed, it cannot be scored.</w:t>
      </w:r>
    </w:p>
    <w:p w14:paraId="3F48A7A3" w14:textId="77777777" w:rsidR="00F63DB9" w:rsidRDefault="00000000">
      <w:pPr>
        <w:pStyle w:val="Heading3"/>
      </w:pPr>
      <w:r>
        <w:t>Principle 2: Comparability</w:t>
      </w:r>
    </w:p>
    <w:p w14:paraId="6153EA8F" w14:textId="77777777" w:rsidR="00F63DB9" w:rsidRDefault="00000000">
      <w:pPr>
        <w:spacing w:before="60" w:after="120" w:line="320" w:lineRule="auto"/>
      </w:pPr>
      <w:r>
        <w:t>Scores must be meaningfully comparable across asset classes. A score of 75 for a tokenized Treasury product and a score of 75 for a tokenized real estate token must reflect genuinely comparable liquidity profiles, not asset-class-adjusted scores. Cross-asset comparability is essential for portfolio construction.</w:t>
      </w:r>
    </w:p>
    <w:p w14:paraId="6B5A61B0" w14:textId="77777777" w:rsidR="00F63DB9" w:rsidRDefault="00000000">
      <w:pPr>
        <w:pStyle w:val="Heading3"/>
      </w:pPr>
      <w:r>
        <w:t>Principle 3: Transparency</w:t>
      </w:r>
    </w:p>
    <w:p w14:paraId="056292CE" w14:textId="77777777" w:rsidR="00F63DB9" w:rsidRDefault="00000000">
      <w:pPr>
        <w:spacing w:before="60" w:after="120" w:line="320" w:lineRule="auto"/>
      </w:pPr>
      <w:r>
        <w:t>The full methodology must be published and auditable. Any market participant must be able to reproduce any score from first principles using the published methodology. Black-box scoring, however sophisticated, cannot serve as an industry standard.</w:t>
      </w:r>
    </w:p>
    <w:p w14:paraId="31A691AC" w14:textId="77777777" w:rsidR="00F63DB9" w:rsidRDefault="00000000">
      <w:pPr>
        <w:pStyle w:val="Heading3"/>
      </w:pPr>
      <w:r>
        <w:t>Principle 4: Dynamism</w:t>
      </w:r>
    </w:p>
    <w:p w14:paraId="5E2F4D19" w14:textId="77777777" w:rsidR="00F63DB9" w:rsidRDefault="00000000">
      <w:pPr>
        <w:spacing w:before="60" w:after="120" w:line="320" w:lineRule="auto"/>
      </w:pPr>
      <w:r>
        <w:t>Liquidity conditions change. A product with monthly redemptions that switches to weekly redemptions should see its score change immediately. The methodology must support real-time or near-real-time score updates as market structure evolves.</w:t>
      </w:r>
    </w:p>
    <w:p w14:paraId="57AD9B36" w14:textId="77777777" w:rsidR="00F63DB9" w:rsidRDefault="00000000">
      <w:pPr>
        <w:pStyle w:val="Heading3"/>
      </w:pPr>
      <w:r>
        <w:t>Principle 5: Conservatism</w:t>
      </w:r>
    </w:p>
    <w:p w14:paraId="3A284C5F" w14:textId="77777777" w:rsidR="00F63DB9" w:rsidRDefault="00000000">
      <w:pPr>
        <w:spacing w:before="60" w:after="120" w:line="320" w:lineRule="auto"/>
      </w:pPr>
      <w:r>
        <w:t>When data is ambiguous or incomplete, RWALS scores conservatively. Undisclosed redemption terms, unverified secondary market claims, and insufficient historical data all result in downward score adjustments. Investors are better served by a conservative score that proves too low than by an optimistic score that proves misleading.</w:t>
      </w:r>
    </w:p>
    <w:p w14:paraId="3706A59D" w14:textId="77777777" w:rsidR="00F63DB9" w:rsidRDefault="00000000">
      <w:pPr>
        <w:pStyle w:val="Heading3"/>
      </w:pPr>
      <w:r>
        <w:t>Principle 6: Evolution</w:t>
      </w:r>
    </w:p>
    <w:p w14:paraId="150C4E5B" w14:textId="77777777" w:rsidR="00F63DB9" w:rsidRDefault="00000000">
      <w:pPr>
        <w:spacing w:before="60" w:after="120" w:line="320" w:lineRule="auto"/>
      </w:pPr>
      <w:r>
        <w:lastRenderedPageBreak/>
        <w:t>The methodology will evolve. Version 1.0 is a starting point, not an endpoint. As secondary markets develop, as new exit mechanisms emerge, and as on-chain data becomes richer, the framework will incorporate new inputs and refine existing dimensions. All changes will be versioned, documented, and published.</w:t>
      </w:r>
    </w:p>
    <w:p w14:paraId="1426B621" w14:textId="77777777" w:rsidR="00F63DB9" w:rsidRDefault="00000000">
      <w:pPr>
        <w:spacing w:after="80" w:line="276" w:lineRule="auto"/>
      </w:pPr>
      <w:r>
        <w:rPr>
          <w:sz w:val="24"/>
          <w:szCs w:val="24"/>
        </w:rPr>
        <w:t xml:space="preserve"> </w:t>
      </w:r>
    </w:p>
    <w:p w14:paraId="2C25C4E4" w14:textId="77777777" w:rsidR="00F63DB9" w:rsidRDefault="00000000">
      <w:pPr>
        <w:pStyle w:val="Heading2"/>
        <w:pBdr>
          <w:bottom w:val="single" w:sz="4" w:space="4" w:color="CBD5E1"/>
        </w:pBdr>
      </w:pPr>
      <w:r>
        <w:t>4.2 Theoretical Grounding</w:t>
      </w:r>
    </w:p>
    <w:p w14:paraId="3FFF1B72" w14:textId="77777777" w:rsidR="00F63DB9" w:rsidRDefault="00000000">
      <w:pPr>
        <w:spacing w:before="60" w:after="120" w:line="320" w:lineRule="auto"/>
      </w:pPr>
      <w:r>
        <w:t>The RWALS framework draws on established financial theory across three domains:</w:t>
      </w:r>
    </w:p>
    <w:p w14:paraId="38CCBC3B" w14:textId="77777777" w:rsidR="00F63DB9" w:rsidRDefault="00000000">
      <w:pPr>
        <w:pStyle w:val="Heading3"/>
      </w:pPr>
      <w:r>
        <w:t xml:space="preserve">4.2.1 </w:t>
      </w:r>
      <w:proofErr w:type="spellStart"/>
      <w:r>
        <w:t>Amihud</w:t>
      </w:r>
      <w:proofErr w:type="spellEnd"/>
      <w:r>
        <w:t xml:space="preserve"> Illiquidity Measure</w:t>
      </w:r>
    </w:p>
    <w:p w14:paraId="215DF8C7" w14:textId="77777777" w:rsidR="00F63DB9" w:rsidRDefault="00000000">
      <w:pPr>
        <w:spacing w:before="60" w:after="120" w:line="320" w:lineRule="auto"/>
      </w:pPr>
      <w:r>
        <w:t xml:space="preserve">Yakov Amihud's 2002 illiquidity measure, which estimates price impact per unit of trading volume, provides the conceptual foundation for the Secondary Market Depth dimension. Where </w:t>
      </w:r>
      <w:proofErr w:type="spellStart"/>
      <w:r>
        <w:t>Amihud's</w:t>
      </w:r>
      <w:proofErr w:type="spellEnd"/>
      <w:r>
        <w:t xml:space="preserve"> measure applies to public equity markets with observable price and volume data, RWALS adapts the underlying logic to the RWA context where such data is sparse or absent.</w:t>
      </w:r>
    </w:p>
    <w:p w14:paraId="2D1DBFDD" w14:textId="77777777" w:rsidR="00F63DB9" w:rsidRDefault="00000000">
      <w:pPr>
        <w:pStyle w:val="Heading3"/>
      </w:pPr>
      <w:r>
        <w:t>4.2.2 Redemption Option Theory</w:t>
      </w:r>
    </w:p>
    <w:p w14:paraId="69564565" w14:textId="77777777" w:rsidR="00F63DB9" w:rsidRDefault="00000000">
      <w:pPr>
        <w:spacing w:before="60" w:after="120" w:line="320" w:lineRule="auto"/>
      </w:pPr>
      <w:r>
        <w:t>The Redemption Velocity dimension is grounded in option pricing theory: a daily redemption right at NAV is economically equivalent to a put option with zero time-to-expiration. Longer redemption windows reduce the value of this option. Withdrawal queues introduce additional uncertainty analogous to American option exercise restrictions.</w:t>
      </w:r>
    </w:p>
    <w:p w14:paraId="2DB111CE" w14:textId="77777777" w:rsidR="00F63DB9" w:rsidRDefault="00000000">
      <w:pPr>
        <w:pStyle w:val="Heading3"/>
      </w:pPr>
      <w:r>
        <w:t>4.2.3 Information Asymmetry and Adverse Selection</w:t>
      </w:r>
    </w:p>
    <w:p w14:paraId="7D04C4B4" w14:textId="77777777" w:rsidR="00F63DB9" w:rsidRDefault="00000000">
      <w:pPr>
        <w:spacing w:before="60" w:after="120" w:line="320" w:lineRule="auto"/>
      </w:pPr>
      <w:r>
        <w:t>The NAV Transparency dimension reflects Akerlof's market for lemons framework: in markets with significant information asymmetry between issuers and investors, adverse selection premiums compress market participation. Frequent, verifiable, on-chain NAV publication reduces information asymmetry and should, theoretically, improve secondary market depth over time.</w:t>
      </w:r>
    </w:p>
    <w:p w14:paraId="3AFB286C" w14:textId="77777777" w:rsidR="00F63DB9" w:rsidRDefault="00000000">
      <w:r>
        <w:br w:type="page"/>
      </w:r>
    </w:p>
    <w:p w14:paraId="504A9AF7" w14:textId="77777777" w:rsidR="00F63DB9" w:rsidRDefault="00000000">
      <w:pPr>
        <w:pStyle w:val="Heading1"/>
      </w:pPr>
      <w:r>
        <w:lastRenderedPageBreak/>
        <w:t>Chapter 5: Scoring Dimensions in Detail</w:t>
      </w:r>
    </w:p>
    <w:p w14:paraId="5927C681" w14:textId="77777777" w:rsidR="00F63DB9" w:rsidRDefault="00000000">
      <w:pPr>
        <w:spacing w:before="60" w:after="120" w:line="320" w:lineRule="auto"/>
      </w:pPr>
      <w:r>
        <w:t xml:space="preserve">The RWALS score is composed of five independently scored dimensions. Each dimension is scored on its own scale. The </w:t>
      </w:r>
      <w:proofErr w:type="gramStart"/>
      <w:r>
        <w:t>five dimension</w:t>
      </w:r>
      <w:proofErr w:type="gramEnd"/>
      <w:r>
        <w:t xml:space="preserve"> scores are summed to produce the overall RWALS score out of 100.</w:t>
      </w:r>
    </w:p>
    <w:p w14:paraId="65F7155B" w14:textId="77777777" w:rsidR="00F63DB9" w:rsidRDefault="00000000">
      <w:pPr>
        <w:spacing w:after="80" w:line="276" w:lineRule="auto"/>
      </w:pPr>
      <w:r>
        <w:rPr>
          <w:sz w:val="24"/>
          <w:szCs w:val="24"/>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000"/>
        <w:gridCol w:w="4160"/>
      </w:tblGrid>
      <w:tr w:rsidR="00F63DB9" w14:paraId="128CB77E" w14:textId="77777777">
        <w:tblPrEx>
          <w:tblCellMar>
            <w:top w:w="0" w:type="dxa"/>
            <w:bottom w:w="0" w:type="dxa"/>
          </w:tblCellMar>
        </w:tblPrEx>
        <w:trPr>
          <w:tblHeader/>
        </w:trPr>
        <w:tc>
          <w:tcPr>
            <w:tcW w:w="32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52FB43BC" w14:textId="77777777" w:rsidR="00F63DB9" w:rsidRDefault="00000000">
            <w:pPr>
              <w:jc w:val="center"/>
            </w:pPr>
            <w:r>
              <w:rPr>
                <w:b/>
                <w:bCs/>
                <w:color w:val="FFFFFF"/>
                <w:sz w:val="18"/>
                <w:szCs w:val="18"/>
              </w:rPr>
              <w:t>Dimension</w:t>
            </w:r>
          </w:p>
        </w:tc>
        <w:tc>
          <w:tcPr>
            <w:tcW w:w="20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0C6270EC" w14:textId="77777777" w:rsidR="00F63DB9" w:rsidRDefault="00000000">
            <w:pPr>
              <w:jc w:val="center"/>
            </w:pPr>
            <w:r>
              <w:rPr>
                <w:b/>
                <w:bCs/>
                <w:color w:val="FFFFFF"/>
                <w:sz w:val="18"/>
                <w:szCs w:val="18"/>
              </w:rPr>
              <w:t>Max Score</w:t>
            </w:r>
          </w:p>
        </w:tc>
        <w:tc>
          <w:tcPr>
            <w:tcW w:w="416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3792B73F" w14:textId="77777777" w:rsidR="00F63DB9" w:rsidRDefault="00000000">
            <w:pPr>
              <w:jc w:val="center"/>
            </w:pPr>
            <w:r>
              <w:rPr>
                <w:b/>
                <w:bCs/>
                <w:color w:val="FFFFFF"/>
                <w:sz w:val="18"/>
                <w:szCs w:val="18"/>
              </w:rPr>
              <w:t>What It Measures</w:t>
            </w:r>
          </w:p>
        </w:tc>
      </w:tr>
      <w:tr w:rsidR="00F63DB9" w14:paraId="01AFB972" w14:textId="77777777">
        <w:tblPrEx>
          <w:tblCellMar>
            <w:top w:w="0" w:type="dxa"/>
            <w:bottom w:w="0" w:type="dxa"/>
          </w:tblCellMar>
        </w:tblPrEx>
        <w:tc>
          <w:tcPr>
            <w:tcW w:w="32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3B681AD1" w14:textId="77777777" w:rsidR="00F63DB9" w:rsidRDefault="00000000">
            <w:r>
              <w:rPr>
                <w:b/>
                <w:bCs/>
                <w:sz w:val="20"/>
                <w:szCs w:val="20"/>
              </w:rPr>
              <w:t>Redemption Velocity</w:t>
            </w:r>
          </w:p>
        </w:tc>
        <w:tc>
          <w:tcPr>
            <w:tcW w:w="20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23D986B0" w14:textId="77777777" w:rsidR="00F63DB9" w:rsidRDefault="00000000">
            <w:r>
              <w:rPr>
                <w:sz w:val="20"/>
                <w:szCs w:val="20"/>
              </w:rPr>
              <w:t>25 points</w:t>
            </w:r>
          </w:p>
        </w:tc>
        <w:tc>
          <w:tcPr>
            <w:tcW w:w="416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6B10E1B4" w14:textId="77777777" w:rsidR="00F63DB9" w:rsidRDefault="00000000">
            <w:r>
              <w:rPr>
                <w:sz w:val="20"/>
                <w:szCs w:val="20"/>
              </w:rPr>
              <w:t>Speed and certainty of primary exit</w:t>
            </w:r>
          </w:p>
        </w:tc>
      </w:tr>
      <w:tr w:rsidR="00F63DB9" w14:paraId="14DE4977" w14:textId="77777777">
        <w:tblPrEx>
          <w:tblCellMar>
            <w:top w:w="0" w:type="dxa"/>
            <w:bottom w:w="0" w:type="dxa"/>
          </w:tblCellMar>
        </w:tblPrEx>
        <w:tc>
          <w:tcPr>
            <w:tcW w:w="32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D69F20D" w14:textId="77777777" w:rsidR="00F63DB9" w:rsidRDefault="00000000">
            <w:r>
              <w:rPr>
                <w:b/>
                <w:bCs/>
                <w:sz w:val="20"/>
                <w:szCs w:val="20"/>
              </w:rPr>
              <w:t>Secondary Market Depth</w:t>
            </w:r>
          </w:p>
        </w:tc>
        <w:tc>
          <w:tcPr>
            <w:tcW w:w="20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477B9EF" w14:textId="77777777" w:rsidR="00F63DB9" w:rsidRDefault="00000000">
            <w:r>
              <w:rPr>
                <w:sz w:val="20"/>
                <w:szCs w:val="20"/>
              </w:rPr>
              <w:t>25 points</w:t>
            </w:r>
          </w:p>
        </w:tc>
        <w:tc>
          <w:tcPr>
            <w:tcW w:w="41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024F52B" w14:textId="77777777" w:rsidR="00F63DB9" w:rsidRDefault="00000000">
            <w:r>
              <w:rPr>
                <w:sz w:val="20"/>
                <w:szCs w:val="20"/>
              </w:rPr>
              <w:t>Existence and depth of secondary trading</w:t>
            </w:r>
          </w:p>
        </w:tc>
      </w:tr>
      <w:tr w:rsidR="00F63DB9" w14:paraId="6B328E46" w14:textId="77777777">
        <w:tblPrEx>
          <w:tblCellMar>
            <w:top w:w="0" w:type="dxa"/>
            <w:bottom w:w="0" w:type="dxa"/>
          </w:tblCellMar>
        </w:tblPrEx>
        <w:tc>
          <w:tcPr>
            <w:tcW w:w="32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2EB521B7" w14:textId="77777777" w:rsidR="00F63DB9" w:rsidRDefault="00000000">
            <w:r>
              <w:rPr>
                <w:b/>
                <w:bCs/>
                <w:sz w:val="20"/>
                <w:szCs w:val="20"/>
              </w:rPr>
              <w:t>Transfer Restrictions</w:t>
            </w:r>
          </w:p>
        </w:tc>
        <w:tc>
          <w:tcPr>
            <w:tcW w:w="20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75DB27E5" w14:textId="77777777" w:rsidR="00F63DB9" w:rsidRDefault="00000000">
            <w:r>
              <w:rPr>
                <w:sz w:val="20"/>
                <w:szCs w:val="20"/>
              </w:rPr>
              <w:t>20 points</w:t>
            </w:r>
          </w:p>
        </w:tc>
        <w:tc>
          <w:tcPr>
            <w:tcW w:w="416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739661CB" w14:textId="77777777" w:rsidR="00F63DB9" w:rsidRDefault="00000000">
            <w:r>
              <w:rPr>
                <w:sz w:val="20"/>
                <w:szCs w:val="20"/>
              </w:rPr>
              <w:t>Token transferability and whitelist requirements</w:t>
            </w:r>
          </w:p>
        </w:tc>
      </w:tr>
      <w:tr w:rsidR="00F63DB9" w14:paraId="20713CD1" w14:textId="77777777">
        <w:tblPrEx>
          <w:tblCellMar>
            <w:top w:w="0" w:type="dxa"/>
            <w:bottom w:w="0" w:type="dxa"/>
          </w:tblCellMar>
        </w:tblPrEx>
        <w:tc>
          <w:tcPr>
            <w:tcW w:w="32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D88F211" w14:textId="77777777" w:rsidR="00F63DB9" w:rsidRDefault="00000000">
            <w:r>
              <w:rPr>
                <w:b/>
                <w:bCs/>
                <w:sz w:val="20"/>
                <w:szCs w:val="20"/>
              </w:rPr>
              <w:t>NAV Transparency</w:t>
            </w:r>
          </w:p>
        </w:tc>
        <w:tc>
          <w:tcPr>
            <w:tcW w:w="20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59BB3989" w14:textId="77777777" w:rsidR="00F63DB9" w:rsidRDefault="00000000">
            <w:r>
              <w:rPr>
                <w:sz w:val="20"/>
                <w:szCs w:val="20"/>
              </w:rPr>
              <w:t>15 points</w:t>
            </w:r>
          </w:p>
        </w:tc>
        <w:tc>
          <w:tcPr>
            <w:tcW w:w="41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E9B21EB" w14:textId="77777777" w:rsidR="00F63DB9" w:rsidRDefault="00000000">
            <w:r>
              <w:rPr>
                <w:sz w:val="20"/>
                <w:szCs w:val="20"/>
              </w:rPr>
              <w:t>Frequency and verifiability of NAV reporting</w:t>
            </w:r>
          </w:p>
        </w:tc>
      </w:tr>
      <w:tr w:rsidR="00F63DB9" w14:paraId="29303A81" w14:textId="77777777">
        <w:tblPrEx>
          <w:tblCellMar>
            <w:top w:w="0" w:type="dxa"/>
            <w:bottom w:w="0" w:type="dxa"/>
          </w:tblCellMar>
        </w:tblPrEx>
        <w:tc>
          <w:tcPr>
            <w:tcW w:w="32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3336EEED" w14:textId="77777777" w:rsidR="00F63DB9" w:rsidRDefault="00000000">
            <w:r>
              <w:rPr>
                <w:b/>
                <w:bCs/>
                <w:sz w:val="20"/>
                <w:szCs w:val="20"/>
              </w:rPr>
              <w:t>Platform Maturity</w:t>
            </w:r>
          </w:p>
        </w:tc>
        <w:tc>
          <w:tcPr>
            <w:tcW w:w="20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5D78BB22" w14:textId="77777777" w:rsidR="00F63DB9" w:rsidRDefault="00000000">
            <w:r>
              <w:rPr>
                <w:sz w:val="20"/>
                <w:szCs w:val="20"/>
              </w:rPr>
              <w:t>15 points</w:t>
            </w:r>
          </w:p>
        </w:tc>
        <w:tc>
          <w:tcPr>
            <w:tcW w:w="416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7BAFFAAA" w14:textId="77777777" w:rsidR="00F63DB9" w:rsidRDefault="00000000">
            <w:r>
              <w:rPr>
                <w:sz w:val="20"/>
                <w:szCs w:val="20"/>
              </w:rPr>
              <w:t>Issuer track record and operational risk</w:t>
            </w:r>
          </w:p>
        </w:tc>
      </w:tr>
    </w:tbl>
    <w:p w14:paraId="3A412C53" w14:textId="77777777" w:rsidR="00F63DB9" w:rsidRDefault="00000000">
      <w:pPr>
        <w:spacing w:after="200" w:line="276" w:lineRule="auto"/>
      </w:pPr>
      <w:r>
        <w:rPr>
          <w:sz w:val="24"/>
          <w:szCs w:val="24"/>
        </w:rPr>
        <w:t xml:space="preserve"> </w:t>
      </w:r>
    </w:p>
    <w:p w14:paraId="714E2E3D" w14:textId="77777777" w:rsidR="00F63DB9" w:rsidRDefault="00000000">
      <w:pPr>
        <w:pStyle w:val="Heading2"/>
        <w:pBdr>
          <w:bottom w:val="single" w:sz="4" w:space="4" w:color="CBD5E1"/>
        </w:pBdr>
      </w:pPr>
      <w:r>
        <w:t>Dimension 1: Redemption Velocity (0–25 points)</w:t>
      </w:r>
    </w:p>
    <w:p w14:paraId="5F50BBF1" w14:textId="77777777" w:rsidR="00F63DB9" w:rsidRDefault="00000000">
      <w:pPr>
        <w:spacing w:before="60" w:after="120" w:line="320" w:lineRule="auto"/>
      </w:pPr>
      <w:r>
        <w:t xml:space="preserve">Redemption Velocity measures the speed, certainty, and cost of converting a tokenized RWA position to cash or liquid </w:t>
      </w:r>
      <w:proofErr w:type="gramStart"/>
      <w:r>
        <w:t>stablecoins</w:t>
      </w:r>
      <w:proofErr w:type="gramEnd"/>
      <w:r>
        <w:t xml:space="preserve"> through the issuer's primary redemption mechanism. It is intentionally weighted equally with Secondary Market Depth (25 points each) because for most tokenized RWAs, the redemption mechanism is the primary — and often only — exit pathway.</w:t>
      </w:r>
    </w:p>
    <w:p w14:paraId="3746E80A" w14:textId="77777777" w:rsidR="00F63DB9" w:rsidRDefault="00000000">
      <w:pPr>
        <w:spacing w:after="80" w:line="276" w:lineRule="auto"/>
      </w:pPr>
      <w:r>
        <w:rPr>
          <w:sz w:val="24"/>
          <w:szCs w:val="24"/>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200"/>
        <w:gridCol w:w="6360"/>
      </w:tblGrid>
      <w:tr w:rsidR="00F63DB9" w14:paraId="383B2475" w14:textId="77777777">
        <w:tblPrEx>
          <w:tblCellMar>
            <w:top w:w="0" w:type="dxa"/>
            <w:bottom w:w="0" w:type="dxa"/>
          </w:tblCellMar>
        </w:tblPrEx>
        <w:trPr>
          <w:tblHeader/>
        </w:trPr>
        <w:tc>
          <w:tcPr>
            <w:tcW w:w="18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36409928" w14:textId="77777777" w:rsidR="00F63DB9" w:rsidRDefault="00000000">
            <w:pPr>
              <w:jc w:val="center"/>
            </w:pPr>
            <w:r>
              <w:rPr>
                <w:b/>
                <w:bCs/>
                <w:color w:val="FFFFFF"/>
                <w:sz w:val="18"/>
                <w:szCs w:val="18"/>
              </w:rPr>
              <w:t>Redemption Type</w:t>
            </w:r>
          </w:p>
        </w:tc>
        <w:tc>
          <w:tcPr>
            <w:tcW w:w="12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67405EFB" w14:textId="77777777" w:rsidR="00F63DB9" w:rsidRDefault="00000000">
            <w:pPr>
              <w:jc w:val="center"/>
            </w:pPr>
            <w:r>
              <w:rPr>
                <w:b/>
                <w:bCs/>
                <w:color w:val="FFFFFF"/>
                <w:sz w:val="18"/>
                <w:szCs w:val="18"/>
              </w:rPr>
              <w:t>Score</w:t>
            </w:r>
          </w:p>
        </w:tc>
        <w:tc>
          <w:tcPr>
            <w:tcW w:w="636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2B88C004" w14:textId="77777777" w:rsidR="00F63DB9" w:rsidRDefault="00000000">
            <w:pPr>
              <w:jc w:val="center"/>
            </w:pPr>
            <w:r>
              <w:rPr>
                <w:b/>
                <w:bCs/>
                <w:color w:val="FFFFFF"/>
                <w:sz w:val="18"/>
                <w:szCs w:val="18"/>
              </w:rPr>
              <w:t>Description</w:t>
            </w:r>
          </w:p>
        </w:tc>
      </w:tr>
      <w:tr w:rsidR="00F63DB9" w14:paraId="50C5C8DE" w14:textId="77777777">
        <w:tblPrEx>
          <w:tblCellMar>
            <w:top w:w="0" w:type="dxa"/>
            <w:bottom w:w="0" w:type="dxa"/>
          </w:tblCellMar>
        </w:tblPrEx>
        <w:tc>
          <w:tcPr>
            <w:tcW w:w="1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4FF26F86" w14:textId="77777777" w:rsidR="00F63DB9" w:rsidRDefault="00000000">
            <w:proofErr w:type="gramStart"/>
            <w:r>
              <w:rPr>
                <w:b/>
                <w:bCs/>
                <w:sz w:val="18"/>
                <w:szCs w:val="18"/>
              </w:rPr>
              <w:t>Same-day</w:t>
            </w:r>
            <w:proofErr w:type="gramEnd"/>
            <w:r>
              <w:rPr>
                <w:b/>
                <w:bCs/>
                <w:sz w:val="18"/>
                <w:szCs w:val="18"/>
              </w:rPr>
              <w:t xml:space="preserve"> / T+0</w:t>
            </w:r>
          </w:p>
        </w:tc>
        <w:tc>
          <w:tcPr>
            <w:tcW w:w="12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22AD4B69" w14:textId="77777777" w:rsidR="00F63DB9" w:rsidRDefault="00000000">
            <w:r>
              <w:rPr>
                <w:sz w:val="18"/>
                <w:szCs w:val="18"/>
              </w:rPr>
              <w:t>23–25</w:t>
            </w:r>
          </w:p>
        </w:tc>
        <w:tc>
          <w:tcPr>
            <w:tcW w:w="636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6D32CBEA" w14:textId="77777777" w:rsidR="00F63DB9" w:rsidRDefault="00000000">
            <w:r>
              <w:rPr>
                <w:sz w:val="18"/>
                <w:szCs w:val="18"/>
              </w:rPr>
              <w:t>Permissionless, immediate redemption via on-chain mechanism or DEX at near-NAV. Effectively equivalent to cash. Example: PAXG, stablecoin-backed assets.</w:t>
            </w:r>
          </w:p>
        </w:tc>
      </w:tr>
      <w:tr w:rsidR="00F63DB9" w14:paraId="5412E2E6" w14:textId="77777777">
        <w:tblPrEx>
          <w:tblCellMar>
            <w:top w:w="0" w:type="dxa"/>
            <w:bottom w:w="0" w:type="dxa"/>
          </w:tblCellMar>
        </w:tblPrEx>
        <w:tc>
          <w:tcPr>
            <w:tcW w:w="1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EB7C60A" w14:textId="77777777" w:rsidR="00F63DB9" w:rsidRDefault="00000000">
            <w:r>
              <w:rPr>
                <w:b/>
                <w:bCs/>
                <w:sz w:val="18"/>
                <w:szCs w:val="18"/>
              </w:rPr>
              <w:t>T+1 Business Day</w:t>
            </w:r>
          </w:p>
        </w:tc>
        <w:tc>
          <w:tcPr>
            <w:tcW w:w="12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B353BDB" w14:textId="77777777" w:rsidR="00F63DB9" w:rsidRDefault="00000000">
            <w:r>
              <w:rPr>
                <w:sz w:val="18"/>
                <w:szCs w:val="18"/>
              </w:rPr>
              <w:t>19–22</w:t>
            </w:r>
          </w:p>
        </w:tc>
        <w:tc>
          <w:tcPr>
            <w:tcW w:w="63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44632AD" w14:textId="77777777" w:rsidR="00F63DB9" w:rsidRDefault="00000000">
            <w:r>
              <w:rPr>
                <w:sz w:val="18"/>
                <w:szCs w:val="18"/>
              </w:rPr>
              <w:t>Redemption processed the following business day. Standard for most short-duration treasury products. Example: USDY, USYC.</w:t>
            </w:r>
          </w:p>
        </w:tc>
      </w:tr>
      <w:tr w:rsidR="00F63DB9" w14:paraId="0D09B25D" w14:textId="77777777">
        <w:tblPrEx>
          <w:tblCellMar>
            <w:top w:w="0" w:type="dxa"/>
            <w:bottom w:w="0" w:type="dxa"/>
          </w:tblCellMar>
        </w:tblPrEx>
        <w:tc>
          <w:tcPr>
            <w:tcW w:w="1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73977967" w14:textId="77777777" w:rsidR="00F63DB9" w:rsidRDefault="00000000">
            <w:r>
              <w:rPr>
                <w:b/>
                <w:bCs/>
                <w:sz w:val="18"/>
                <w:szCs w:val="18"/>
              </w:rPr>
              <w:t>T+2 to T+3</w:t>
            </w:r>
          </w:p>
        </w:tc>
        <w:tc>
          <w:tcPr>
            <w:tcW w:w="12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5195B2F" w14:textId="77777777" w:rsidR="00F63DB9" w:rsidRDefault="00000000">
            <w:r>
              <w:rPr>
                <w:sz w:val="18"/>
                <w:szCs w:val="18"/>
              </w:rPr>
              <w:t>15–18</w:t>
            </w:r>
          </w:p>
        </w:tc>
        <w:tc>
          <w:tcPr>
            <w:tcW w:w="636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8CBC9CF" w14:textId="77777777" w:rsidR="00F63DB9" w:rsidRDefault="00000000">
            <w:r>
              <w:rPr>
                <w:sz w:val="18"/>
                <w:szCs w:val="18"/>
              </w:rPr>
              <w:t>Standard settlement window, consistent with traditional finance norms. Example: XAUT.</w:t>
            </w:r>
          </w:p>
        </w:tc>
      </w:tr>
      <w:tr w:rsidR="00F63DB9" w14:paraId="0BD9BB39" w14:textId="77777777">
        <w:tblPrEx>
          <w:tblCellMar>
            <w:top w:w="0" w:type="dxa"/>
            <w:bottom w:w="0" w:type="dxa"/>
          </w:tblCellMar>
        </w:tblPrEx>
        <w:tc>
          <w:tcPr>
            <w:tcW w:w="1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80C5B0C" w14:textId="77777777" w:rsidR="00F63DB9" w:rsidRDefault="00000000">
            <w:r>
              <w:rPr>
                <w:b/>
                <w:bCs/>
                <w:sz w:val="18"/>
                <w:szCs w:val="18"/>
              </w:rPr>
              <w:t>Weekly Window</w:t>
            </w:r>
          </w:p>
        </w:tc>
        <w:tc>
          <w:tcPr>
            <w:tcW w:w="12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D0DBD38" w14:textId="77777777" w:rsidR="00F63DB9" w:rsidRDefault="00000000">
            <w:r>
              <w:rPr>
                <w:sz w:val="18"/>
                <w:szCs w:val="18"/>
              </w:rPr>
              <w:t>10–14</w:t>
            </w:r>
          </w:p>
        </w:tc>
        <w:tc>
          <w:tcPr>
            <w:tcW w:w="63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320C95D" w14:textId="77777777" w:rsidR="00F63DB9" w:rsidRDefault="00000000">
            <w:r>
              <w:rPr>
                <w:sz w:val="18"/>
                <w:szCs w:val="18"/>
              </w:rPr>
              <w:t xml:space="preserve">Redemption </w:t>
            </w:r>
            <w:proofErr w:type="gramStart"/>
            <w:r>
              <w:rPr>
                <w:sz w:val="18"/>
                <w:szCs w:val="18"/>
              </w:rPr>
              <w:t>available</w:t>
            </w:r>
            <w:proofErr w:type="gramEnd"/>
            <w:r>
              <w:rPr>
                <w:sz w:val="18"/>
                <w:szCs w:val="18"/>
              </w:rPr>
              <w:t xml:space="preserve"> once per week. Introduces meaningful timing risk. Example: BUIDL.</w:t>
            </w:r>
          </w:p>
        </w:tc>
      </w:tr>
      <w:tr w:rsidR="00F63DB9" w14:paraId="5E8E7AC0" w14:textId="77777777">
        <w:tblPrEx>
          <w:tblCellMar>
            <w:top w:w="0" w:type="dxa"/>
            <w:bottom w:w="0" w:type="dxa"/>
          </w:tblCellMar>
        </w:tblPrEx>
        <w:tc>
          <w:tcPr>
            <w:tcW w:w="1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3AF0234B" w14:textId="77777777" w:rsidR="00F63DB9" w:rsidRDefault="00000000">
            <w:r>
              <w:rPr>
                <w:b/>
                <w:bCs/>
                <w:sz w:val="18"/>
                <w:szCs w:val="18"/>
              </w:rPr>
              <w:t>Monthly Window</w:t>
            </w:r>
          </w:p>
        </w:tc>
        <w:tc>
          <w:tcPr>
            <w:tcW w:w="12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2986C6D2" w14:textId="77777777" w:rsidR="00F63DB9" w:rsidRDefault="00000000">
            <w:r>
              <w:rPr>
                <w:sz w:val="18"/>
                <w:szCs w:val="18"/>
              </w:rPr>
              <w:t>5–9</w:t>
            </w:r>
          </w:p>
        </w:tc>
        <w:tc>
          <w:tcPr>
            <w:tcW w:w="636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32862036" w14:textId="77777777" w:rsidR="00F63DB9" w:rsidRDefault="00000000">
            <w:r>
              <w:rPr>
                <w:sz w:val="18"/>
                <w:szCs w:val="18"/>
              </w:rPr>
              <w:t xml:space="preserve">Redemption once per month. Significant illiquidity premium warranted. Example: </w:t>
            </w:r>
            <w:proofErr w:type="spellStart"/>
            <w:r>
              <w:rPr>
                <w:sz w:val="18"/>
                <w:szCs w:val="18"/>
              </w:rPr>
              <w:t>Fasanara</w:t>
            </w:r>
            <w:proofErr w:type="spellEnd"/>
            <w:r>
              <w:rPr>
                <w:sz w:val="18"/>
                <w:szCs w:val="18"/>
              </w:rPr>
              <w:t>, some credit vaults.</w:t>
            </w:r>
          </w:p>
        </w:tc>
      </w:tr>
      <w:tr w:rsidR="00F63DB9" w14:paraId="3800396A" w14:textId="77777777">
        <w:tblPrEx>
          <w:tblCellMar>
            <w:top w:w="0" w:type="dxa"/>
            <w:bottom w:w="0" w:type="dxa"/>
          </w:tblCellMar>
        </w:tblPrEx>
        <w:tc>
          <w:tcPr>
            <w:tcW w:w="1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B080E5D" w14:textId="77777777" w:rsidR="00F63DB9" w:rsidRDefault="00000000">
            <w:r>
              <w:rPr>
                <w:b/>
                <w:bCs/>
                <w:sz w:val="18"/>
                <w:szCs w:val="18"/>
              </w:rPr>
              <w:t xml:space="preserve">Quarterly or </w:t>
            </w:r>
            <w:proofErr w:type="gramStart"/>
            <w:r>
              <w:rPr>
                <w:b/>
                <w:bCs/>
                <w:sz w:val="18"/>
                <w:szCs w:val="18"/>
              </w:rPr>
              <w:t>Longer</w:t>
            </w:r>
            <w:proofErr w:type="gramEnd"/>
          </w:p>
        </w:tc>
        <w:tc>
          <w:tcPr>
            <w:tcW w:w="12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F1BCDDE" w14:textId="77777777" w:rsidR="00F63DB9" w:rsidRDefault="00000000">
            <w:r>
              <w:rPr>
                <w:sz w:val="18"/>
                <w:szCs w:val="18"/>
              </w:rPr>
              <w:t>1–4</w:t>
            </w:r>
          </w:p>
        </w:tc>
        <w:tc>
          <w:tcPr>
            <w:tcW w:w="63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8B58D73" w14:textId="77777777" w:rsidR="00F63DB9" w:rsidRDefault="00000000">
            <w:r>
              <w:rPr>
                <w:sz w:val="18"/>
                <w:szCs w:val="18"/>
              </w:rPr>
              <w:t>Redemption quarterly or less frequently. Effectively illiquid for most portfolio management purposes.</w:t>
            </w:r>
          </w:p>
        </w:tc>
      </w:tr>
      <w:tr w:rsidR="00F63DB9" w14:paraId="172DBA02" w14:textId="77777777">
        <w:tblPrEx>
          <w:tblCellMar>
            <w:top w:w="0" w:type="dxa"/>
            <w:bottom w:w="0" w:type="dxa"/>
          </w:tblCellMar>
        </w:tblPrEx>
        <w:tc>
          <w:tcPr>
            <w:tcW w:w="1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7BA759AB" w14:textId="77777777" w:rsidR="00F63DB9" w:rsidRDefault="00000000">
            <w:r>
              <w:rPr>
                <w:b/>
                <w:bCs/>
                <w:sz w:val="18"/>
                <w:szCs w:val="18"/>
              </w:rPr>
              <w:t>No Mechanism / Queue</w:t>
            </w:r>
          </w:p>
        </w:tc>
        <w:tc>
          <w:tcPr>
            <w:tcW w:w="12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5E27DDDF" w14:textId="77777777" w:rsidR="00F63DB9" w:rsidRDefault="00000000">
            <w:r>
              <w:rPr>
                <w:sz w:val="18"/>
                <w:szCs w:val="18"/>
              </w:rPr>
              <w:t>0</w:t>
            </w:r>
          </w:p>
        </w:tc>
        <w:tc>
          <w:tcPr>
            <w:tcW w:w="636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3A778B74" w14:textId="77777777" w:rsidR="00F63DB9" w:rsidRDefault="00000000">
            <w:r>
              <w:rPr>
                <w:sz w:val="18"/>
                <w:szCs w:val="18"/>
              </w:rPr>
              <w:t>No defined redemption mechanism, or withdrawal queue with no defined timeline. Full illiquidity.</w:t>
            </w:r>
          </w:p>
        </w:tc>
      </w:tr>
    </w:tbl>
    <w:p w14:paraId="5045A289" w14:textId="77777777" w:rsidR="00F63DB9" w:rsidRDefault="00000000">
      <w:pPr>
        <w:spacing w:after="120" w:line="276" w:lineRule="auto"/>
      </w:pPr>
      <w:r>
        <w:rPr>
          <w:sz w:val="24"/>
          <w:szCs w:val="24"/>
        </w:rPr>
        <w:t xml:space="preserve"> </w:t>
      </w:r>
    </w:p>
    <w:p w14:paraId="1A794A5F" w14:textId="77777777" w:rsidR="00F63DB9" w:rsidRDefault="00000000">
      <w:pPr>
        <w:spacing w:before="60" w:after="120" w:line="320" w:lineRule="auto"/>
      </w:pPr>
      <w:r>
        <w:lastRenderedPageBreak/>
        <w:t>Redemption Velocity scores are adjusted downward for: redemption fees exceeding 50bps, minimum redemption amounts that effectively exclude retail holders, gate provisions that allow issuers to suspend redemptions, and ambiguous or legally untested redemption terms.</w:t>
      </w:r>
    </w:p>
    <w:p w14:paraId="3A26E7DE" w14:textId="77777777" w:rsidR="00F63DB9" w:rsidRDefault="00000000">
      <w:pPr>
        <w:spacing w:after="160" w:line="276" w:lineRule="auto"/>
      </w:pPr>
      <w:r>
        <w:rPr>
          <w:sz w:val="24"/>
          <w:szCs w:val="24"/>
        </w:rPr>
        <w:t xml:space="preserve"> </w:t>
      </w:r>
    </w:p>
    <w:p w14:paraId="019A02D3" w14:textId="77777777" w:rsidR="00F63DB9" w:rsidRDefault="00000000">
      <w:pPr>
        <w:pStyle w:val="Heading2"/>
        <w:pBdr>
          <w:bottom w:val="single" w:sz="4" w:space="4" w:color="CBD5E1"/>
        </w:pBdr>
      </w:pPr>
      <w:r>
        <w:t>Dimension 2: Secondary Market Depth (0–25 points)</w:t>
      </w:r>
    </w:p>
    <w:p w14:paraId="0C6AFD98" w14:textId="77777777" w:rsidR="00F63DB9" w:rsidRDefault="00000000">
      <w:pPr>
        <w:spacing w:before="60" w:after="120" w:line="320" w:lineRule="auto"/>
      </w:pPr>
      <w:r>
        <w:t xml:space="preserve">Secondary Market Depth measures the existence, accessibility, and depth of markets where a holder can sell their RWA </w:t>
      </w:r>
      <w:proofErr w:type="gramStart"/>
      <w:r>
        <w:t>token</w:t>
      </w:r>
      <w:proofErr w:type="gramEnd"/>
      <w:r>
        <w:t xml:space="preserve"> to a third party without involving the issuer's redemption mechanism. This dimension is critically important because it represents the only exit pathway in situations where the primary redemption mechanism is unavailable, suspended, or oversubscribed.</w:t>
      </w:r>
    </w:p>
    <w:p w14:paraId="7F8F78BF" w14:textId="77777777" w:rsidR="00F63DB9" w:rsidRDefault="00000000">
      <w:pPr>
        <w:spacing w:after="80" w:line="276" w:lineRule="auto"/>
      </w:pPr>
      <w:r>
        <w:rPr>
          <w:sz w:val="24"/>
          <w:szCs w:val="24"/>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200"/>
        <w:gridCol w:w="5960"/>
      </w:tblGrid>
      <w:tr w:rsidR="00F63DB9" w14:paraId="1AF96DAB" w14:textId="77777777">
        <w:tblPrEx>
          <w:tblCellMar>
            <w:top w:w="0" w:type="dxa"/>
            <w:bottom w:w="0" w:type="dxa"/>
          </w:tblCellMar>
        </w:tblPrEx>
        <w:trPr>
          <w:tblHeader/>
        </w:trPr>
        <w:tc>
          <w:tcPr>
            <w:tcW w:w="22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3E183C7F" w14:textId="77777777" w:rsidR="00F63DB9" w:rsidRDefault="00000000">
            <w:pPr>
              <w:jc w:val="center"/>
            </w:pPr>
            <w:r>
              <w:rPr>
                <w:b/>
                <w:bCs/>
                <w:color w:val="FFFFFF"/>
                <w:sz w:val="18"/>
                <w:szCs w:val="18"/>
              </w:rPr>
              <w:t>Secondary Market Status</w:t>
            </w:r>
          </w:p>
        </w:tc>
        <w:tc>
          <w:tcPr>
            <w:tcW w:w="12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42D5B52B" w14:textId="77777777" w:rsidR="00F63DB9" w:rsidRDefault="00000000">
            <w:pPr>
              <w:jc w:val="center"/>
            </w:pPr>
            <w:r>
              <w:rPr>
                <w:b/>
                <w:bCs/>
                <w:color w:val="FFFFFF"/>
                <w:sz w:val="18"/>
                <w:szCs w:val="18"/>
              </w:rPr>
              <w:t>Score</w:t>
            </w:r>
          </w:p>
        </w:tc>
        <w:tc>
          <w:tcPr>
            <w:tcW w:w="596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1B941514" w14:textId="77777777" w:rsidR="00F63DB9" w:rsidRDefault="00000000">
            <w:pPr>
              <w:jc w:val="center"/>
            </w:pPr>
            <w:r>
              <w:rPr>
                <w:b/>
                <w:bCs/>
                <w:color w:val="FFFFFF"/>
                <w:sz w:val="18"/>
                <w:szCs w:val="18"/>
              </w:rPr>
              <w:t>Criteria</w:t>
            </w:r>
          </w:p>
        </w:tc>
      </w:tr>
      <w:tr w:rsidR="00F63DB9" w14:paraId="12B9145C" w14:textId="77777777">
        <w:tblPrEx>
          <w:tblCellMar>
            <w:top w:w="0" w:type="dxa"/>
            <w:bottom w:w="0" w:type="dxa"/>
          </w:tblCellMar>
        </w:tblPrEx>
        <w:tc>
          <w:tcPr>
            <w:tcW w:w="22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6DF104F2" w14:textId="77777777" w:rsidR="00F63DB9" w:rsidRDefault="00000000">
            <w:r>
              <w:rPr>
                <w:b/>
                <w:bCs/>
                <w:sz w:val="18"/>
                <w:szCs w:val="18"/>
              </w:rPr>
              <w:t>Active DEX + OTC</w:t>
            </w:r>
          </w:p>
        </w:tc>
        <w:tc>
          <w:tcPr>
            <w:tcW w:w="12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5257B139" w14:textId="77777777" w:rsidR="00F63DB9" w:rsidRDefault="00000000">
            <w:r>
              <w:rPr>
                <w:sz w:val="18"/>
                <w:szCs w:val="18"/>
              </w:rPr>
              <w:t>21–25</w:t>
            </w:r>
          </w:p>
        </w:tc>
        <w:tc>
          <w:tcPr>
            <w:tcW w:w="596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936B48C" w14:textId="77777777" w:rsidR="00F63DB9" w:rsidRDefault="00000000">
            <w:r>
              <w:rPr>
                <w:sz w:val="18"/>
                <w:szCs w:val="18"/>
              </w:rPr>
              <w:t>&gt;$500K 30-day DEX volume; OTC desk availability; price oracle operational; &lt;2% price-to-NAV deviation average</w:t>
            </w:r>
          </w:p>
        </w:tc>
      </w:tr>
      <w:tr w:rsidR="00F63DB9" w14:paraId="188397E0" w14:textId="77777777">
        <w:tblPrEx>
          <w:tblCellMar>
            <w:top w:w="0" w:type="dxa"/>
            <w:bottom w:w="0" w:type="dxa"/>
          </w:tblCellMar>
        </w:tblPrEx>
        <w:tc>
          <w:tcPr>
            <w:tcW w:w="22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14EDB6C" w14:textId="77777777" w:rsidR="00F63DB9" w:rsidRDefault="00000000">
            <w:r>
              <w:rPr>
                <w:b/>
                <w:bCs/>
                <w:sz w:val="18"/>
                <w:szCs w:val="18"/>
              </w:rPr>
              <w:t>Active DEX</w:t>
            </w:r>
          </w:p>
        </w:tc>
        <w:tc>
          <w:tcPr>
            <w:tcW w:w="12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29449B72" w14:textId="77777777" w:rsidR="00F63DB9" w:rsidRDefault="00000000">
            <w:r>
              <w:rPr>
                <w:sz w:val="18"/>
                <w:szCs w:val="18"/>
              </w:rPr>
              <w:t>16–20</w:t>
            </w:r>
          </w:p>
        </w:tc>
        <w:tc>
          <w:tcPr>
            <w:tcW w:w="59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80C3CC1" w14:textId="77777777" w:rsidR="00F63DB9" w:rsidRDefault="00000000">
            <w:r>
              <w:rPr>
                <w:sz w:val="18"/>
                <w:szCs w:val="18"/>
              </w:rPr>
              <w:t>&gt;$100K 30-day DEX volume; meaningful on-chain liquidity pool; some price discovery occurring</w:t>
            </w:r>
          </w:p>
        </w:tc>
      </w:tr>
      <w:tr w:rsidR="00F63DB9" w14:paraId="379A190D" w14:textId="77777777">
        <w:tblPrEx>
          <w:tblCellMar>
            <w:top w:w="0" w:type="dxa"/>
            <w:bottom w:w="0" w:type="dxa"/>
          </w:tblCellMar>
        </w:tblPrEx>
        <w:tc>
          <w:tcPr>
            <w:tcW w:w="22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B662519" w14:textId="77777777" w:rsidR="00F63DB9" w:rsidRDefault="00000000">
            <w:r>
              <w:rPr>
                <w:b/>
                <w:bCs/>
                <w:sz w:val="18"/>
                <w:szCs w:val="18"/>
              </w:rPr>
              <w:t>Limited DEX / Active OTC</w:t>
            </w:r>
          </w:p>
        </w:tc>
        <w:tc>
          <w:tcPr>
            <w:tcW w:w="12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68A9F6D0" w14:textId="77777777" w:rsidR="00F63DB9" w:rsidRDefault="00000000">
            <w:r>
              <w:rPr>
                <w:sz w:val="18"/>
                <w:szCs w:val="18"/>
              </w:rPr>
              <w:t>11–15</w:t>
            </w:r>
          </w:p>
        </w:tc>
        <w:tc>
          <w:tcPr>
            <w:tcW w:w="596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5B6E7562" w14:textId="77777777" w:rsidR="00F63DB9" w:rsidRDefault="00000000">
            <w:r>
              <w:rPr>
                <w:sz w:val="18"/>
                <w:szCs w:val="18"/>
              </w:rPr>
              <w:t>DEX pools exist but thin; OTC available through issuer or known desks; occasional secondary trades observable</w:t>
            </w:r>
          </w:p>
        </w:tc>
      </w:tr>
      <w:tr w:rsidR="00F63DB9" w14:paraId="2A6E58E8" w14:textId="77777777">
        <w:tblPrEx>
          <w:tblCellMar>
            <w:top w:w="0" w:type="dxa"/>
            <w:bottom w:w="0" w:type="dxa"/>
          </w:tblCellMar>
        </w:tblPrEx>
        <w:tc>
          <w:tcPr>
            <w:tcW w:w="22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2DBFE981" w14:textId="77777777" w:rsidR="00F63DB9" w:rsidRDefault="00000000">
            <w:r>
              <w:rPr>
                <w:b/>
                <w:bCs/>
                <w:sz w:val="18"/>
                <w:szCs w:val="18"/>
              </w:rPr>
              <w:t>Emerging / Thin</w:t>
            </w:r>
          </w:p>
        </w:tc>
        <w:tc>
          <w:tcPr>
            <w:tcW w:w="12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66DD547" w14:textId="77777777" w:rsidR="00F63DB9" w:rsidRDefault="00000000">
            <w:r>
              <w:rPr>
                <w:sz w:val="18"/>
                <w:szCs w:val="18"/>
              </w:rPr>
              <w:t>6–10</w:t>
            </w:r>
          </w:p>
        </w:tc>
        <w:tc>
          <w:tcPr>
            <w:tcW w:w="59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2E9BCF59" w14:textId="77777777" w:rsidR="00F63DB9" w:rsidRDefault="00000000">
            <w:r>
              <w:rPr>
                <w:sz w:val="18"/>
                <w:szCs w:val="18"/>
              </w:rPr>
              <w:t>Some secondary market activity but highly episodic; limited to platform-specific venues; high price uncertainty</w:t>
            </w:r>
          </w:p>
        </w:tc>
      </w:tr>
      <w:tr w:rsidR="00F63DB9" w14:paraId="3DC6B825" w14:textId="77777777">
        <w:tblPrEx>
          <w:tblCellMar>
            <w:top w:w="0" w:type="dxa"/>
            <w:bottom w:w="0" w:type="dxa"/>
          </w:tblCellMar>
        </w:tblPrEx>
        <w:tc>
          <w:tcPr>
            <w:tcW w:w="22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6655925F" w14:textId="77777777" w:rsidR="00F63DB9" w:rsidRDefault="00000000">
            <w:r>
              <w:rPr>
                <w:b/>
                <w:bCs/>
                <w:sz w:val="18"/>
                <w:szCs w:val="18"/>
              </w:rPr>
              <w:t>Platform-Only Secondary</w:t>
            </w:r>
          </w:p>
        </w:tc>
        <w:tc>
          <w:tcPr>
            <w:tcW w:w="12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7BDD3B66" w14:textId="77777777" w:rsidR="00F63DB9" w:rsidRDefault="00000000">
            <w:r>
              <w:rPr>
                <w:sz w:val="18"/>
                <w:szCs w:val="18"/>
              </w:rPr>
              <w:t>2–5</w:t>
            </w:r>
          </w:p>
        </w:tc>
        <w:tc>
          <w:tcPr>
            <w:tcW w:w="596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713C9FAE" w14:textId="77777777" w:rsidR="00F63DB9" w:rsidRDefault="00000000">
            <w:r>
              <w:rPr>
                <w:sz w:val="18"/>
                <w:szCs w:val="18"/>
              </w:rPr>
              <w:t xml:space="preserve">Internal marketplace only (e.g. </w:t>
            </w:r>
            <w:proofErr w:type="spellStart"/>
            <w:r>
              <w:rPr>
                <w:sz w:val="18"/>
                <w:szCs w:val="18"/>
              </w:rPr>
              <w:t>RealT</w:t>
            </w:r>
            <w:proofErr w:type="spellEnd"/>
            <w:r>
              <w:rPr>
                <w:sz w:val="18"/>
                <w:szCs w:val="18"/>
              </w:rPr>
              <w:t xml:space="preserve"> marketplace); no permissionless secondary venue; issuer-controlled pricing</w:t>
            </w:r>
          </w:p>
        </w:tc>
      </w:tr>
      <w:tr w:rsidR="00F63DB9" w14:paraId="0FA6705E" w14:textId="77777777">
        <w:tblPrEx>
          <w:tblCellMar>
            <w:top w:w="0" w:type="dxa"/>
            <w:bottom w:w="0" w:type="dxa"/>
          </w:tblCellMar>
        </w:tblPrEx>
        <w:tc>
          <w:tcPr>
            <w:tcW w:w="22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B932681" w14:textId="77777777" w:rsidR="00F63DB9" w:rsidRDefault="00000000">
            <w:r>
              <w:rPr>
                <w:b/>
                <w:bCs/>
                <w:sz w:val="18"/>
                <w:szCs w:val="18"/>
              </w:rPr>
              <w:t>No Secondary Market</w:t>
            </w:r>
          </w:p>
        </w:tc>
        <w:tc>
          <w:tcPr>
            <w:tcW w:w="12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2738EC25" w14:textId="77777777" w:rsidR="00F63DB9" w:rsidRDefault="00000000">
            <w:r>
              <w:rPr>
                <w:sz w:val="18"/>
                <w:szCs w:val="18"/>
              </w:rPr>
              <w:t>0–1</w:t>
            </w:r>
          </w:p>
        </w:tc>
        <w:tc>
          <w:tcPr>
            <w:tcW w:w="59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DC813A5" w14:textId="77777777" w:rsidR="00F63DB9" w:rsidRDefault="00000000">
            <w:r>
              <w:rPr>
                <w:sz w:val="18"/>
                <w:szCs w:val="18"/>
              </w:rPr>
              <w:t>No secondary trading venue exists. Exit only through primary redemption or distressed OTC.</w:t>
            </w:r>
          </w:p>
        </w:tc>
      </w:tr>
    </w:tbl>
    <w:p w14:paraId="7F318E4D" w14:textId="77777777" w:rsidR="00F63DB9" w:rsidRDefault="00000000">
      <w:pPr>
        <w:spacing w:after="160" w:line="276" w:lineRule="auto"/>
      </w:pPr>
      <w:r>
        <w:rPr>
          <w:sz w:val="24"/>
          <w:szCs w:val="24"/>
        </w:rPr>
        <w:t xml:space="preserve"> </w:t>
      </w:r>
    </w:p>
    <w:p w14:paraId="2B2D1D1B" w14:textId="77777777" w:rsidR="00F63DB9" w:rsidRDefault="00000000">
      <w:pPr>
        <w:pStyle w:val="Heading2"/>
        <w:pBdr>
          <w:bottom w:val="single" w:sz="4" w:space="4" w:color="CBD5E1"/>
        </w:pBdr>
      </w:pPr>
      <w:r>
        <w:t>Dimension 3: Transfer Restrictions (0–20 points)</w:t>
      </w:r>
    </w:p>
    <w:p w14:paraId="7CC25578" w14:textId="77777777" w:rsidR="00F63DB9" w:rsidRDefault="00000000">
      <w:pPr>
        <w:spacing w:before="60" w:after="120" w:line="320" w:lineRule="auto"/>
      </w:pPr>
      <w:r>
        <w:t xml:space="preserve">Transfer Restrictions </w:t>
      </w:r>
      <w:proofErr w:type="gramStart"/>
      <w:r>
        <w:t>measures</w:t>
      </w:r>
      <w:proofErr w:type="gramEnd"/>
      <w:r>
        <w:t xml:space="preserve"> the degree to which a token can move freely between market participants. This dimension is highly correlated with secondary market depth: tokens that cannot be transferred between arbitrary wallets cannot, by definition, have permissionless secondary markets.</w:t>
      </w:r>
    </w:p>
    <w:p w14:paraId="4655D36E" w14:textId="77777777" w:rsidR="00F63DB9" w:rsidRDefault="00000000">
      <w:pPr>
        <w:pStyle w:val="ListParagraph"/>
        <w:numPr>
          <w:ilvl w:val="0"/>
          <w:numId w:val="2"/>
        </w:numPr>
        <w:spacing w:before="60" w:after="60" w:line="300" w:lineRule="auto"/>
      </w:pPr>
      <w:r>
        <w:t>Permissionless ERC-20 or equivalent: 18–20 points. Token transfers between any wallet without restriction.</w:t>
      </w:r>
    </w:p>
    <w:p w14:paraId="659D0018" w14:textId="77777777" w:rsidR="00F63DB9" w:rsidRDefault="00000000">
      <w:pPr>
        <w:pStyle w:val="ListParagraph"/>
        <w:numPr>
          <w:ilvl w:val="0"/>
          <w:numId w:val="2"/>
        </w:numPr>
        <w:spacing w:before="60" w:after="60" w:line="300" w:lineRule="auto"/>
      </w:pPr>
      <w:r>
        <w:t>Permissioned with broad whitelist: 13–17 points. KYC/accreditation required but whitelist is accessible and fast (&lt;5 business days).</w:t>
      </w:r>
    </w:p>
    <w:p w14:paraId="53199074" w14:textId="77777777" w:rsidR="00F63DB9" w:rsidRDefault="00000000">
      <w:pPr>
        <w:pStyle w:val="ListParagraph"/>
        <w:numPr>
          <w:ilvl w:val="0"/>
          <w:numId w:val="2"/>
        </w:numPr>
        <w:spacing w:before="60" w:after="60" w:line="300" w:lineRule="auto"/>
      </w:pPr>
      <w:r>
        <w:lastRenderedPageBreak/>
        <w:t>Permissioned with narrow whitelist: 8–12 points. Whitelist access restricted; issuer approval required; timeline uncertain.</w:t>
      </w:r>
    </w:p>
    <w:p w14:paraId="16C79606" w14:textId="77777777" w:rsidR="00F63DB9" w:rsidRDefault="00000000">
      <w:pPr>
        <w:pStyle w:val="ListParagraph"/>
        <w:numPr>
          <w:ilvl w:val="0"/>
          <w:numId w:val="2"/>
        </w:numPr>
        <w:spacing w:before="60" w:after="60" w:line="300" w:lineRule="auto"/>
      </w:pPr>
      <w:r>
        <w:t>Restricted transfers: 3–7 points. Transfers limited to specific categories of wallets; secondary market transfers may require issuer approval for each transaction.</w:t>
      </w:r>
    </w:p>
    <w:p w14:paraId="01D31C88" w14:textId="77777777" w:rsidR="00F63DB9" w:rsidRDefault="00000000">
      <w:pPr>
        <w:pStyle w:val="ListParagraph"/>
        <w:numPr>
          <w:ilvl w:val="0"/>
          <w:numId w:val="2"/>
        </w:numPr>
        <w:spacing w:before="60" w:after="60" w:line="300" w:lineRule="auto"/>
      </w:pPr>
      <w:r>
        <w:t>Non-transferable / SBT: 0–2 points. Token cannot be transferred at all; only primary redemption is available.</w:t>
      </w:r>
    </w:p>
    <w:p w14:paraId="1AFA314D" w14:textId="77777777" w:rsidR="00F63DB9" w:rsidRDefault="00000000">
      <w:pPr>
        <w:spacing w:after="160" w:line="276" w:lineRule="auto"/>
      </w:pPr>
      <w:r>
        <w:rPr>
          <w:sz w:val="24"/>
          <w:szCs w:val="24"/>
        </w:rPr>
        <w:t xml:space="preserve"> </w:t>
      </w:r>
    </w:p>
    <w:p w14:paraId="0B420AAE" w14:textId="77777777" w:rsidR="00F63DB9" w:rsidRDefault="00000000">
      <w:pPr>
        <w:pStyle w:val="Heading2"/>
        <w:pBdr>
          <w:bottom w:val="single" w:sz="4" w:space="4" w:color="CBD5E1"/>
        </w:pBdr>
      </w:pPr>
      <w:r>
        <w:t>Dimension 4: NAV Transparency (0–15 points)</w:t>
      </w:r>
    </w:p>
    <w:p w14:paraId="7FA06610" w14:textId="77777777" w:rsidR="00F63DB9" w:rsidRDefault="00000000">
      <w:pPr>
        <w:spacing w:before="60" w:after="120" w:line="320" w:lineRule="auto"/>
      </w:pPr>
      <w:r>
        <w:t xml:space="preserve">NAV Transparency measures how frequently, how reliably, and how verifiably an issuer publishes the net asset value of their tokenized product. NAV transparency is the foundation of secondary market price discovery: without a reliable NAV, secondary buyers </w:t>
      </w:r>
      <w:proofErr w:type="gramStart"/>
      <w:r>
        <w:t>cannot price</w:t>
      </w:r>
      <w:proofErr w:type="gramEnd"/>
      <w:r>
        <w:t xml:space="preserve"> a position with confidence.</w:t>
      </w:r>
    </w:p>
    <w:p w14:paraId="47785E23" w14:textId="77777777" w:rsidR="00F63DB9" w:rsidRDefault="00000000">
      <w:pPr>
        <w:pStyle w:val="ListParagraph"/>
        <w:numPr>
          <w:ilvl w:val="0"/>
          <w:numId w:val="2"/>
        </w:numPr>
        <w:spacing w:before="60" w:after="60" w:line="300" w:lineRule="auto"/>
      </w:pPr>
      <w:r>
        <w:t>Real-time on-chain oracle (continuous): 14–15 points. NAV updated continuously or near-continuously via verifiable on-chain oracle.</w:t>
      </w:r>
    </w:p>
    <w:p w14:paraId="6FC034F6" w14:textId="77777777" w:rsidR="00F63DB9" w:rsidRDefault="00000000">
      <w:pPr>
        <w:pStyle w:val="ListParagraph"/>
        <w:numPr>
          <w:ilvl w:val="0"/>
          <w:numId w:val="2"/>
        </w:numPr>
        <w:spacing w:before="60" w:after="60" w:line="300" w:lineRule="auto"/>
      </w:pPr>
      <w:r>
        <w:t>Daily on-chain publication: 11–13 points. NAV published daily to the blockchain; independently verifiable.</w:t>
      </w:r>
    </w:p>
    <w:p w14:paraId="3BBCAFD0" w14:textId="77777777" w:rsidR="00F63DB9" w:rsidRDefault="00000000">
      <w:pPr>
        <w:pStyle w:val="ListParagraph"/>
        <w:numPr>
          <w:ilvl w:val="0"/>
          <w:numId w:val="2"/>
        </w:numPr>
        <w:spacing w:before="60" w:after="60" w:line="300" w:lineRule="auto"/>
      </w:pPr>
      <w:r>
        <w:t xml:space="preserve">Daily off-chain publication: 8–10 points. NAV published daily but not </w:t>
      </w:r>
      <w:proofErr w:type="gramStart"/>
      <w:r>
        <w:t>on-chain</w:t>
      </w:r>
      <w:proofErr w:type="gramEnd"/>
      <w:r>
        <w:t>; requires trust in issuer's data.</w:t>
      </w:r>
    </w:p>
    <w:p w14:paraId="50B18E83" w14:textId="77777777" w:rsidR="00F63DB9" w:rsidRDefault="00000000">
      <w:pPr>
        <w:pStyle w:val="ListParagraph"/>
        <w:numPr>
          <w:ilvl w:val="0"/>
          <w:numId w:val="2"/>
        </w:numPr>
        <w:spacing w:before="60" w:after="60" w:line="300" w:lineRule="auto"/>
      </w:pPr>
      <w:r>
        <w:t>Weekly publication: 5–7 points. Meaningful gap between NAV updates; secondary market pricing becomes unreliable mid-week.</w:t>
      </w:r>
    </w:p>
    <w:p w14:paraId="46B50A29" w14:textId="77777777" w:rsidR="00F63DB9" w:rsidRDefault="00000000">
      <w:pPr>
        <w:pStyle w:val="ListParagraph"/>
        <w:numPr>
          <w:ilvl w:val="0"/>
          <w:numId w:val="2"/>
        </w:numPr>
        <w:spacing w:before="60" w:after="60" w:line="300" w:lineRule="auto"/>
      </w:pPr>
      <w:r>
        <w:t>Monthly publication: 2–4 points. Severe information asymmetry; secondary market pricing essentially impossible.</w:t>
      </w:r>
    </w:p>
    <w:p w14:paraId="2A53A72E" w14:textId="77777777" w:rsidR="00F63DB9" w:rsidRDefault="00000000">
      <w:pPr>
        <w:pStyle w:val="ListParagraph"/>
        <w:numPr>
          <w:ilvl w:val="0"/>
          <w:numId w:val="2"/>
        </w:numPr>
        <w:spacing w:before="60" w:after="60" w:line="300" w:lineRule="auto"/>
      </w:pPr>
      <w:r>
        <w:t xml:space="preserve">Irregular or undisclosed: 0–1 </w:t>
      </w:r>
      <w:proofErr w:type="gramStart"/>
      <w:r>
        <w:t>points</w:t>
      </w:r>
      <w:proofErr w:type="gramEnd"/>
      <w:r>
        <w:t>. NAV timing is uncertain or unpublished.</w:t>
      </w:r>
    </w:p>
    <w:p w14:paraId="664152D8" w14:textId="77777777" w:rsidR="00F63DB9" w:rsidRDefault="00000000">
      <w:pPr>
        <w:spacing w:after="160" w:line="276" w:lineRule="auto"/>
      </w:pPr>
      <w:r>
        <w:rPr>
          <w:sz w:val="24"/>
          <w:szCs w:val="24"/>
        </w:rPr>
        <w:t xml:space="preserve"> </w:t>
      </w:r>
    </w:p>
    <w:p w14:paraId="73141F14" w14:textId="77777777" w:rsidR="00F63DB9" w:rsidRDefault="00000000">
      <w:pPr>
        <w:pStyle w:val="Heading2"/>
        <w:pBdr>
          <w:bottom w:val="single" w:sz="4" w:space="4" w:color="CBD5E1"/>
        </w:pBdr>
      </w:pPr>
      <w:r>
        <w:t>Dimension 5: Platform Maturity (0–15 points)</w:t>
      </w:r>
    </w:p>
    <w:p w14:paraId="65F930B5" w14:textId="77777777" w:rsidR="00F63DB9" w:rsidRDefault="00000000">
      <w:pPr>
        <w:spacing w:before="60" w:after="120" w:line="320" w:lineRule="auto"/>
      </w:pPr>
      <w:r>
        <w:t xml:space="preserve">Platform Maturity assesses the operational reliability, institutional credibility, and track record of the issuer and underlying platform. This dimension is a proxy for counterparty risk and operational risk — the probability that the exit mechanism will function as described when a holder </w:t>
      </w:r>
      <w:proofErr w:type="gramStart"/>
      <w:r>
        <w:t>actually needs</w:t>
      </w:r>
      <w:proofErr w:type="gramEnd"/>
      <w:r>
        <w:t xml:space="preserve"> to use it.</w:t>
      </w:r>
    </w:p>
    <w:p w14:paraId="23CE8611" w14:textId="77777777" w:rsidR="00F63DB9" w:rsidRDefault="00000000">
      <w:pPr>
        <w:pStyle w:val="ListParagraph"/>
        <w:numPr>
          <w:ilvl w:val="0"/>
          <w:numId w:val="2"/>
        </w:numPr>
        <w:spacing w:before="60" w:after="60" w:line="300" w:lineRule="auto"/>
      </w:pPr>
      <w:r>
        <w:t>Top-tier institutional issuer (BlackRock, Franklin Templeton, Fidelity): 13–15 points. Multi-</w:t>
      </w:r>
      <w:proofErr w:type="gramStart"/>
      <w:r>
        <w:t>trillion dollar</w:t>
      </w:r>
      <w:proofErr w:type="gramEnd"/>
      <w:r>
        <w:t xml:space="preserve"> AUM, regulatory standing in multiple jurisdictions, full audit history, institutional custody.</w:t>
      </w:r>
    </w:p>
    <w:p w14:paraId="44FA0CBF" w14:textId="77777777" w:rsidR="00F63DB9" w:rsidRDefault="00000000">
      <w:pPr>
        <w:pStyle w:val="ListParagraph"/>
        <w:numPr>
          <w:ilvl w:val="0"/>
          <w:numId w:val="2"/>
        </w:numPr>
        <w:spacing w:before="60" w:after="60" w:line="300" w:lineRule="auto"/>
      </w:pPr>
      <w:r>
        <w:lastRenderedPageBreak/>
        <w:t>Established crypto-native issuer (Ondo, Maple, Centrifuge): 10–12 points. Multi-year track record, &gt;$100M AUM, audited smart contracts, institutional backing, operational history.</w:t>
      </w:r>
    </w:p>
    <w:p w14:paraId="47C7DBAB" w14:textId="77777777" w:rsidR="00F63DB9" w:rsidRDefault="00000000">
      <w:pPr>
        <w:pStyle w:val="ListParagraph"/>
        <w:numPr>
          <w:ilvl w:val="0"/>
          <w:numId w:val="2"/>
        </w:numPr>
        <w:spacing w:before="60" w:after="60" w:line="300" w:lineRule="auto"/>
      </w:pPr>
      <w:r>
        <w:t xml:space="preserve">Growing issuer (Superstate, </w:t>
      </w:r>
      <w:proofErr w:type="spellStart"/>
      <w:r>
        <w:t>Hashnote</w:t>
      </w:r>
      <w:proofErr w:type="spellEnd"/>
      <w:r>
        <w:t xml:space="preserve">, </w:t>
      </w:r>
      <w:proofErr w:type="spellStart"/>
      <w:r>
        <w:t>Fasanara</w:t>
      </w:r>
      <w:proofErr w:type="spellEnd"/>
      <w:r>
        <w:t>): 7–9 points. &lt;3 years track record, credible team, institutional backing, growing AUM.</w:t>
      </w:r>
    </w:p>
    <w:p w14:paraId="5943189E" w14:textId="77777777" w:rsidR="00F63DB9" w:rsidRDefault="00000000">
      <w:pPr>
        <w:pStyle w:val="ListParagraph"/>
        <w:numPr>
          <w:ilvl w:val="0"/>
          <w:numId w:val="2"/>
        </w:numPr>
        <w:spacing w:before="60" w:after="60" w:line="300" w:lineRule="auto"/>
      </w:pPr>
      <w:r>
        <w:t>Early-stage issuer: 4–6 points. &lt;1 year track record, limited AUM, unproven in stress conditions.</w:t>
      </w:r>
    </w:p>
    <w:p w14:paraId="7E145C02" w14:textId="77777777" w:rsidR="00F63DB9" w:rsidRDefault="00000000">
      <w:pPr>
        <w:pStyle w:val="ListParagraph"/>
        <w:numPr>
          <w:ilvl w:val="0"/>
          <w:numId w:val="2"/>
        </w:numPr>
        <w:spacing w:before="60" w:after="60" w:line="300" w:lineRule="auto"/>
      </w:pPr>
      <w:r>
        <w:t>Unknown / unvetted: 0–3 points. Insufficient information to assess platform reliability.</w:t>
      </w:r>
    </w:p>
    <w:p w14:paraId="6E1AA72B" w14:textId="77777777" w:rsidR="00F63DB9" w:rsidRDefault="00000000">
      <w:r>
        <w:br w:type="page"/>
      </w:r>
    </w:p>
    <w:p w14:paraId="0F8C12F0" w14:textId="77777777" w:rsidR="00F63DB9" w:rsidRDefault="00000000">
      <w:pPr>
        <w:pStyle w:val="Heading1"/>
      </w:pPr>
      <w:r>
        <w:lastRenderedPageBreak/>
        <w:t>Chapter 6: Score Interpretation and Grade Scale</w:t>
      </w:r>
    </w:p>
    <w:p w14:paraId="0BBF2D79" w14:textId="77777777" w:rsidR="00F63DB9" w:rsidRDefault="00000000">
      <w:pPr>
        <w:pStyle w:val="Heading2"/>
        <w:pBdr>
          <w:bottom w:val="single" w:sz="4" w:space="4" w:color="CBD5E1"/>
        </w:pBdr>
      </w:pPr>
      <w:r>
        <w:t>6.1 The RWALS Grade Scale</w:t>
      </w:r>
    </w:p>
    <w:p w14:paraId="40403BD8" w14:textId="77777777" w:rsidR="00F63DB9" w:rsidRDefault="00000000">
      <w:pPr>
        <w:spacing w:after="60" w:line="276" w:lineRule="auto"/>
      </w:pPr>
      <w:r>
        <w:rPr>
          <w:sz w:val="24"/>
          <w:szCs w:val="24"/>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800"/>
        <w:gridCol w:w="1800"/>
        <w:gridCol w:w="4360"/>
      </w:tblGrid>
      <w:tr w:rsidR="00F63DB9" w14:paraId="58D33E05" w14:textId="77777777">
        <w:tblPrEx>
          <w:tblCellMar>
            <w:top w:w="0" w:type="dxa"/>
            <w:bottom w:w="0" w:type="dxa"/>
          </w:tblCellMar>
        </w:tblPrEx>
        <w:trPr>
          <w:tblHeader/>
        </w:trPr>
        <w:tc>
          <w:tcPr>
            <w:tcW w:w="14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7B44B2D8" w14:textId="77777777" w:rsidR="00F63DB9" w:rsidRDefault="00000000">
            <w:pPr>
              <w:jc w:val="center"/>
            </w:pPr>
            <w:r>
              <w:rPr>
                <w:b/>
                <w:bCs/>
                <w:color w:val="FFFFFF"/>
                <w:sz w:val="18"/>
                <w:szCs w:val="18"/>
              </w:rPr>
              <w:t>Score Range</w:t>
            </w:r>
          </w:p>
        </w:tc>
        <w:tc>
          <w:tcPr>
            <w:tcW w:w="18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158DFF75" w14:textId="77777777" w:rsidR="00F63DB9" w:rsidRDefault="00000000">
            <w:pPr>
              <w:jc w:val="center"/>
            </w:pPr>
            <w:r>
              <w:rPr>
                <w:b/>
                <w:bCs/>
                <w:color w:val="FFFFFF"/>
                <w:sz w:val="18"/>
                <w:szCs w:val="18"/>
              </w:rPr>
              <w:t>RWALS Grade</w:t>
            </w:r>
          </w:p>
        </w:tc>
        <w:tc>
          <w:tcPr>
            <w:tcW w:w="18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038DF011" w14:textId="77777777" w:rsidR="00F63DB9" w:rsidRDefault="00000000">
            <w:pPr>
              <w:jc w:val="center"/>
            </w:pPr>
            <w:r>
              <w:rPr>
                <w:b/>
                <w:bCs/>
                <w:color w:val="FFFFFF"/>
                <w:sz w:val="18"/>
                <w:szCs w:val="18"/>
              </w:rPr>
              <w:t>Designation</w:t>
            </w:r>
          </w:p>
        </w:tc>
        <w:tc>
          <w:tcPr>
            <w:tcW w:w="436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773F775E" w14:textId="77777777" w:rsidR="00F63DB9" w:rsidRDefault="00000000">
            <w:pPr>
              <w:jc w:val="center"/>
            </w:pPr>
            <w:r>
              <w:rPr>
                <w:b/>
                <w:bCs/>
                <w:color w:val="FFFFFF"/>
                <w:sz w:val="18"/>
                <w:szCs w:val="18"/>
              </w:rPr>
              <w:t>Interpretation</w:t>
            </w:r>
          </w:p>
        </w:tc>
      </w:tr>
      <w:tr w:rsidR="00F63DB9" w14:paraId="7D79C6D4" w14:textId="77777777">
        <w:tblPrEx>
          <w:tblCellMar>
            <w:top w:w="0" w:type="dxa"/>
            <w:bottom w:w="0" w:type="dxa"/>
          </w:tblCellMar>
        </w:tblPrEx>
        <w:tc>
          <w:tcPr>
            <w:tcW w:w="1400" w:type="dxa"/>
            <w:tcBorders>
              <w:top w:val="single" w:sz="1" w:space="0" w:color="CBD5E1"/>
              <w:left w:val="single" w:sz="1" w:space="0" w:color="CBD5E1"/>
              <w:bottom w:val="single" w:sz="1" w:space="0" w:color="CBD5E1"/>
              <w:right w:val="single" w:sz="1" w:space="0" w:color="CBD5E1"/>
            </w:tcBorders>
            <w:shd w:val="clear" w:color="auto" w:fill="D1FAE5"/>
            <w:tcMar>
              <w:top w:w="100" w:type="dxa"/>
              <w:left w:w="120" w:type="dxa"/>
              <w:bottom w:w="100" w:type="dxa"/>
              <w:right w:w="120" w:type="dxa"/>
            </w:tcMar>
          </w:tcPr>
          <w:p w14:paraId="3AFF1CCF" w14:textId="77777777" w:rsidR="00F63DB9" w:rsidRDefault="00000000">
            <w:r>
              <w:rPr>
                <w:b/>
                <w:bCs/>
                <w:color w:val="059669"/>
                <w:sz w:val="20"/>
                <w:szCs w:val="20"/>
              </w:rPr>
              <w:t>80–100</w:t>
            </w:r>
          </w:p>
        </w:tc>
        <w:tc>
          <w:tcPr>
            <w:tcW w:w="1800" w:type="dxa"/>
            <w:tcBorders>
              <w:top w:val="single" w:sz="1" w:space="0" w:color="CBD5E1"/>
              <w:left w:val="single" w:sz="1" w:space="0" w:color="CBD5E1"/>
              <w:bottom w:val="single" w:sz="1" w:space="0" w:color="CBD5E1"/>
              <w:right w:val="single" w:sz="1" w:space="0" w:color="CBD5E1"/>
            </w:tcBorders>
            <w:shd w:val="clear" w:color="auto" w:fill="D1FAE5"/>
            <w:tcMar>
              <w:top w:w="100" w:type="dxa"/>
              <w:left w:w="120" w:type="dxa"/>
              <w:bottom w:w="100" w:type="dxa"/>
              <w:right w:w="120" w:type="dxa"/>
            </w:tcMar>
          </w:tcPr>
          <w:p w14:paraId="6801069E" w14:textId="77777777" w:rsidR="00F63DB9" w:rsidRDefault="00000000">
            <w:r>
              <w:rPr>
                <w:b/>
                <w:bCs/>
                <w:color w:val="059669"/>
                <w:sz w:val="20"/>
                <w:szCs w:val="20"/>
              </w:rPr>
              <w:t>LL-1</w:t>
            </w:r>
          </w:p>
        </w:tc>
        <w:tc>
          <w:tcPr>
            <w:tcW w:w="1800" w:type="dxa"/>
            <w:tcBorders>
              <w:top w:val="single" w:sz="1" w:space="0" w:color="CBD5E1"/>
              <w:left w:val="single" w:sz="1" w:space="0" w:color="CBD5E1"/>
              <w:bottom w:val="single" w:sz="1" w:space="0" w:color="CBD5E1"/>
              <w:right w:val="single" w:sz="1" w:space="0" w:color="CBD5E1"/>
            </w:tcBorders>
            <w:shd w:val="clear" w:color="auto" w:fill="D1FAE5"/>
            <w:tcMar>
              <w:top w:w="100" w:type="dxa"/>
              <w:left w:w="120" w:type="dxa"/>
              <w:bottom w:w="100" w:type="dxa"/>
              <w:right w:w="120" w:type="dxa"/>
            </w:tcMar>
          </w:tcPr>
          <w:p w14:paraId="0A67B7F0" w14:textId="77777777" w:rsidR="00F63DB9" w:rsidRDefault="00000000">
            <w:r>
              <w:rPr>
                <w:b/>
                <w:bCs/>
                <w:color w:val="059669"/>
                <w:sz w:val="20"/>
                <w:szCs w:val="20"/>
              </w:rPr>
              <w:t>HIGH</w:t>
            </w:r>
          </w:p>
        </w:tc>
        <w:tc>
          <w:tcPr>
            <w:tcW w:w="4360" w:type="dxa"/>
            <w:tcBorders>
              <w:top w:val="single" w:sz="1" w:space="0" w:color="CBD5E1"/>
              <w:left w:val="single" w:sz="1" w:space="0" w:color="CBD5E1"/>
              <w:bottom w:val="single" w:sz="1" w:space="0" w:color="CBD5E1"/>
              <w:right w:val="single" w:sz="1" w:space="0" w:color="CBD5E1"/>
            </w:tcBorders>
            <w:shd w:val="clear" w:color="auto" w:fill="D1FAE5"/>
            <w:tcMar>
              <w:top w:w="100" w:type="dxa"/>
              <w:left w:w="120" w:type="dxa"/>
              <w:bottom w:w="100" w:type="dxa"/>
              <w:right w:w="120" w:type="dxa"/>
            </w:tcMar>
          </w:tcPr>
          <w:p w14:paraId="4808322D" w14:textId="77777777" w:rsidR="00F63DB9" w:rsidRDefault="00000000">
            <w:r>
              <w:rPr>
                <w:color w:val="059669"/>
                <w:sz w:val="20"/>
                <w:szCs w:val="20"/>
              </w:rPr>
              <w:t>Institutional-grade liquidity. Redemption available within 1–2 business days. Secondary market functional. Suitable for most institutional mandates.</w:t>
            </w:r>
          </w:p>
        </w:tc>
      </w:tr>
      <w:tr w:rsidR="00F63DB9" w14:paraId="27142FA5" w14:textId="77777777">
        <w:tblPrEx>
          <w:tblCellMar>
            <w:top w:w="0" w:type="dxa"/>
            <w:bottom w:w="0" w:type="dxa"/>
          </w:tblCellMar>
        </w:tblPrEx>
        <w:tc>
          <w:tcPr>
            <w:tcW w:w="1400" w:type="dxa"/>
            <w:tcBorders>
              <w:top w:val="single" w:sz="1" w:space="0" w:color="CBD5E1"/>
              <w:left w:val="single" w:sz="1" w:space="0" w:color="CBD5E1"/>
              <w:bottom w:val="single" w:sz="1" w:space="0" w:color="CBD5E1"/>
              <w:right w:val="single" w:sz="1" w:space="0" w:color="CBD5E1"/>
            </w:tcBorders>
            <w:shd w:val="clear" w:color="auto" w:fill="FEF3C7"/>
            <w:tcMar>
              <w:top w:w="100" w:type="dxa"/>
              <w:left w:w="120" w:type="dxa"/>
              <w:bottom w:w="100" w:type="dxa"/>
              <w:right w:w="120" w:type="dxa"/>
            </w:tcMar>
          </w:tcPr>
          <w:p w14:paraId="43CDB517" w14:textId="77777777" w:rsidR="00F63DB9" w:rsidRDefault="00000000">
            <w:r>
              <w:rPr>
                <w:b/>
                <w:bCs/>
                <w:color w:val="D97706"/>
                <w:sz w:val="20"/>
                <w:szCs w:val="20"/>
              </w:rPr>
              <w:t>60–79</w:t>
            </w:r>
          </w:p>
        </w:tc>
        <w:tc>
          <w:tcPr>
            <w:tcW w:w="1800" w:type="dxa"/>
            <w:tcBorders>
              <w:top w:val="single" w:sz="1" w:space="0" w:color="CBD5E1"/>
              <w:left w:val="single" w:sz="1" w:space="0" w:color="CBD5E1"/>
              <w:bottom w:val="single" w:sz="1" w:space="0" w:color="CBD5E1"/>
              <w:right w:val="single" w:sz="1" w:space="0" w:color="CBD5E1"/>
            </w:tcBorders>
            <w:shd w:val="clear" w:color="auto" w:fill="FEF3C7"/>
            <w:tcMar>
              <w:top w:w="100" w:type="dxa"/>
              <w:left w:w="120" w:type="dxa"/>
              <w:bottom w:w="100" w:type="dxa"/>
              <w:right w:w="120" w:type="dxa"/>
            </w:tcMar>
          </w:tcPr>
          <w:p w14:paraId="45A919C8" w14:textId="77777777" w:rsidR="00F63DB9" w:rsidRDefault="00000000">
            <w:r>
              <w:rPr>
                <w:b/>
                <w:bCs/>
                <w:color w:val="D97706"/>
                <w:sz w:val="20"/>
                <w:szCs w:val="20"/>
              </w:rPr>
              <w:t>LL-2</w:t>
            </w:r>
          </w:p>
        </w:tc>
        <w:tc>
          <w:tcPr>
            <w:tcW w:w="1800" w:type="dxa"/>
            <w:tcBorders>
              <w:top w:val="single" w:sz="1" w:space="0" w:color="CBD5E1"/>
              <w:left w:val="single" w:sz="1" w:space="0" w:color="CBD5E1"/>
              <w:bottom w:val="single" w:sz="1" w:space="0" w:color="CBD5E1"/>
              <w:right w:val="single" w:sz="1" w:space="0" w:color="CBD5E1"/>
            </w:tcBorders>
            <w:shd w:val="clear" w:color="auto" w:fill="FEF3C7"/>
            <w:tcMar>
              <w:top w:w="100" w:type="dxa"/>
              <w:left w:w="120" w:type="dxa"/>
              <w:bottom w:w="100" w:type="dxa"/>
              <w:right w:w="120" w:type="dxa"/>
            </w:tcMar>
          </w:tcPr>
          <w:p w14:paraId="034EF31D" w14:textId="77777777" w:rsidR="00F63DB9" w:rsidRDefault="00000000">
            <w:r>
              <w:rPr>
                <w:b/>
                <w:bCs/>
                <w:color w:val="D97706"/>
                <w:sz w:val="20"/>
                <w:szCs w:val="20"/>
              </w:rPr>
              <w:t>MODERATE</w:t>
            </w:r>
          </w:p>
        </w:tc>
        <w:tc>
          <w:tcPr>
            <w:tcW w:w="4360" w:type="dxa"/>
            <w:tcBorders>
              <w:top w:val="single" w:sz="1" w:space="0" w:color="CBD5E1"/>
              <w:left w:val="single" w:sz="1" w:space="0" w:color="CBD5E1"/>
              <w:bottom w:val="single" w:sz="1" w:space="0" w:color="CBD5E1"/>
              <w:right w:val="single" w:sz="1" w:space="0" w:color="CBD5E1"/>
            </w:tcBorders>
            <w:shd w:val="clear" w:color="auto" w:fill="FEF3C7"/>
            <w:tcMar>
              <w:top w:w="100" w:type="dxa"/>
              <w:left w:w="120" w:type="dxa"/>
              <w:bottom w:w="100" w:type="dxa"/>
              <w:right w:w="120" w:type="dxa"/>
            </w:tcMar>
          </w:tcPr>
          <w:p w14:paraId="06D150C4" w14:textId="77777777" w:rsidR="00F63DB9" w:rsidRDefault="00000000">
            <w:r>
              <w:rPr>
                <w:color w:val="D97706"/>
                <w:sz w:val="20"/>
                <w:szCs w:val="20"/>
              </w:rPr>
              <w:t>Acceptable liquidity with known constraints. Redemption within 1–2 weeks typical. Some secondary market activity. Appropriate with liquidity budget allocation.</w:t>
            </w:r>
          </w:p>
        </w:tc>
      </w:tr>
      <w:tr w:rsidR="00F63DB9" w14:paraId="2D2B8F6C" w14:textId="77777777">
        <w:tblPrEx>
          <w:tblCellMar>
            <w:top w:w="0" w:type="dxa"/>
            <w:bottom w:w="0" w:type="dxa"/>
          </w:tblCellMar>
        </w:tblPrEx>
        <w:tc>
          <w:tcPr>
            <w:tcW w:w="1400" w:type="dxa"/>
            <w:tcBorders>
              <w:top w:val="single" w:sz="1" w:space="0" w:color="CBD5E1"/>
              <w:left w:val="single" w:sz="1" w:space="0" w:color="CBD5E1"/>
              <w:bottom w:val="single" w:sz="1" w:space="0" w:color="CBD5E1"/>
              <w:right w:val="single" w:sz="1" w:space="0" w:color="CBD5E1"/>
            </w:tcBorders>
            <w:shd w:val="clear" w:color="auto" w:fill="FED7AA"/>
            <w:tcMar>
              <w:top w:w="100" w:type="dxa"/>
              <w:left w:w="120" w:type="dxa"/>
              <w:bottom w:w="100" w:type="dxa"/>
              <w:right w:w="120" w:type="dxa"/>
            </w:tcMar>
          </w:tcPr>
          <w:p w14:paraId="4C749F81" w14:textId="77777777" w:rsidR="00F63DB9" w:rsidRDefault="00000000">
            <w:r>
              <w:rPr>
                <w:b/>
                <w:bCs/>
                <w:color w:val="D97706"/>
                <w:sz w:val="20"/>
                <w:szCs w:val="20"/>
              </w:rPr>
              <w:t>40–59</w:t>
            </w:r>
          </w:p>
        </w:tc>
        <w:tc>
          <w:tcPr>
            <w:tcW w:w="1800" w:type="dxa"/>
            <w:tcBorders>
              <w:top w:val="single" w:sz="1" w:space="0" w:color="CBD5E1"/>
              <w:left w:val="single" w:sz="1" w:space="0" w:color="CBD5E1"/>
              <w:bottom w:val="single" w:sz="1" w:space="0" w:color="CBD5E1"/>
              <w:right w:val="single" w:sz="1" w:space="0" w:color="CBD5E1"/>
            </w:tcBorders>
            <w:shd w:val="clear" w:color="auto" w:fill="FED7AA"/>
            <w:tcMar>
              <w:top w:w="100" w:type="dxa"/>
              <w:left w:w="120" w:type="dxa"/>
              <w:bottom w:w="100" w:type="dxa"/>
              <w:right w:w="120" w:type="dxa"/>
            </w:tcMar>
          </w:tcPr>
          <w:p w14:paraId="3117E8E6" w14:textId="77777777" w:rsidR="00F63DB9" w:rsidRDefault="00000000">
            <w:r>
              <w:rPr>
                <w:b/>
                <w:bCs/>
                <w:color w:val="D97706"/>
                <w:sz w:val="20"/>
                <w:szCs w:val="20"/>
              </w:rPr>
              <w:t>LL-3</w:t>
            </w:r>
          </w:p>
        </w:tc>
        <w:tc>
          <w:tcPr>
            <w:tcW w:w="1800" w:type="dxa"/>
            <w:tcBorders>
              <w:top w:val="single" w:sz="1" w:space="0" w:color="CBD5E1"/>
              <w:left w:val="single" w:sz="1" w:space="0" w:color="CBD5E1"/>
              <w:bottom w:val="single" w:sz="1" w:space="0" w:color="CBD5E1"/>
              <w:right w:val="single" w:sz="1" w:space="0" w:color="CBD5E1"/>
            </w:tcBorders>
            <w:shd w:val="clear" w:color="auto" w:fill="FED7AA"/>
            <w:tcMar>
              <w:top w:w="100" w:type="dxa"/>
              <w:left w:w="120" w:type="dxa"/>
              <w:bottom w:w="100" w:type="dxa"/>
              <w:right w:w="120" w:type="dxa"/>
            </w:tcMar>
          </w:tcPr>
          <w:p w14:paraId="7D4E9738" w14:textId="77777777" w:rsidR="00F63DB9" w:rsidRDefault="00000000">
            <w:r>
              <w:rPr>
                <w:b/>
                <w:bCs/>
                <w:color w:val="D97706"/>
                <w:sz w:val="20"/>
                <w:szCs w:val="20"/>
              </w:rPr>
              <w:t>LIMITED</w:t>
            </w:r>
          </w:p>
        </w:tc>
        <w:tc>
          <w:tcPr>
            <w:tcW w:w="4360" w:type="dxa"/>
            <w:tcBorders>
              <w:top w:val="single" w:sz="1" w:space="0" w:color="CBD5E1"/>
              <w:left w:val="single" w:sz="1" w:space="0" w:color="CBD5E1"/>
              <w:bottom w:val="single" w:sz="1" w:space="0" w:color="CBD5E1"/>
              <w:right w:val="single" w:sz="1" w:space="0" w:color="CBD5E1"/>
            </w:tcBorders>
            <w:shd w:val="clear" w:color="auto" w:fill="FED7AA"/>
            <w:tcMar>
              <w:top w:w="100" w:type="dxa"/>
              <w:left w:w="120" w:type="dxa"/>
              <w:bottom w:w="100" w:type="dxa"/>
              <w:right w:w="120" w:type="dxa"/>
            </w:tcMar>
          </w:tcPr>
          <w:p w14:paraId="4B0C2D1D" w14:textId="77777777" w:rsidR="00F63DB9" w:rsidRDefault="00000000">
            <w:r>
              <w:rPr>
                <w:color w:val="D97706"/>
                <w:sz w:val="20"/>
                <w:szCs w:val="20"/>
              </w:rPr>
              <w:t>Meaningful illiquidity premium present. Redemption timeline uncertain or extended. Thin or no secondary market. Requires specific mandate for illiquid investments.</w:t>
            </w:r>
          </w:p>
        </w:tc>
      </w:tr>
      <w:tr w:rsidR="00F63DB9" w14:paraId="781F03B7" w14:textId="77777777">
        <w:tblPrEx>
          <w:tblCellMar>
            <w:top w:w="0" w:type="dxa"/>
            <w:bottom w:w="0" w:type="dxa"/>
          </w:tblCellMar>
        </w:tblPrEx>
        <w:tc>
          <w:tcPr>
            <w:tcW w:w="1400" w:type="dxa"/>
            <w:tcBorders>
              <w:top w:val="single" w:sz="1" w:space="0" w:color="CBD5E1"/>
              <w:left w:val="single" w:sz="1" w:space="0" w:color="CBD5E1"/>
              <w:bottom w:val="single" w:sz="1" w:space="0" w:color="CBD5E1"/>
              <w:right w:val="single" w:sz="1" w:space="0" w:color="CBD5E1"/>
            </w:tcBorders>
            <w:shd w:val="clear" w:color="auto" w:fill="FEE2E2"/>
            <w:tcMar>
              <w:top w:w="100" w:type="dxa"/>
              <w:left w:w="120" w:type="dxa"/>
              <w:bottom w:w="100" w:type="dxa"/>
              <w:right w:w="120" w:type="dxa"/>
            </w:tcMar>
          </w:tcPr>
          <w:p w14:paraId="7B29EC8F" w14:textId="77777777" w:rsidR="00F63DB9" w:rsidRDefault="00000000">
            <w:r>
              <w:rPr>
                <w:b/>
                <w:bCs/>
                <w:color w:val="DC2626"/>
                <w:sz w:val="20"/>
                <w:szCs w:val="20"/>
              </w:rPr>
              <w:t>20–39</w:t>
            </w:r>
          </w:p>
        </w:tc>
        <w:tc>
          <w:tcPr>
            <w:tcW w:w="1800" w:type="dxa"/>
            <w:tcBorders>
              <w:top w:val="single" w:sz="1" w:space="0" w:color="CBD5E1"/>
              <w:left w:val="single" w:sz="1" w:space="0" w:color="CBD5E1"/>
              <w:bottom w:val="single" w:sz="1" w:space="0" w:color="CBD5E1"/>
              <w:right w:val="single" w:sz="1" w:space="0" w:color="CBD5E1"/>
            </w:tcBorders>
            <w:shd w:val="clear" w:color="auto" w:fill="FEE2E2"/>
            <w:tcMar>
              <w:top w:w="100" w:type="dxa"/>
              <w:left w:w="120" w:type="dxa"/>
              <w:bottom w:w="100" w:type="dxa"/>
              <w:right w:w="120" w:type="dxa"/>
            </w:tcMar>
          </w:tcPr>
          <w:p w14:paraId="12653159" w14:textId="77777777" w:rsidR="00F63DB9" w:rsidRDefault="00000000">
            <w:r>
              <w:rPr>
                <w:b/>
                <w:bCs/>
                <w:color w:val="DC2626"/>
                <w:sz w:val="20"/>
                <w:szCs w:val="20"/>
              </w:rPr>
              <w:t>LL-4</w:t>
            </w:r>
          </w:p>
        </w:tc>
        <w:tc>
          <w:tcPr>
            <w:tcW w:w="1800" w:type="dxa"/>
            <w:tcBorders>
              <w:top w:val="single" w:sz="1" w:space="0" w:color="CBD5E1"/>
              <w:left w:val="single" w:sz="1" w:space="0" w:color="CBD5E1"/>
              <w:bottom w:val="single" w:sz="1" w:space="0" w:color="CBD5E1"/>
              <w:right w:val="single" w:sz="1" w:space="0" w:color="CBD5E1"/>
            </w:tcBorders>
            <w:shd w:val="clear" w:color="auto" w:fill="FEE2E2"/>
            <w:tcMar>
              <w:top w:w="100" w:type="dxa"/>
              <w:left w:w="120" w:type="dxa"/>
              <w:bottom w:w="100" w:type="dxa"/>
              <w:right w:w="120" w:type="dxa"/>
            </w:tcMar>
          </w:tcPr>
          <w:p w14:paraId="4F22DF80" w14:textId="77777777" w:rsidR="00F63DB9" w:rsidRDefault="00000000">
            <w:r>
              <w:rPr>
                <w:b/>
                <w:bCs/>
                <w:color w:val="DC2626"/>
                <w:sz w:val="20"/>
                <w:szCs w:val="20"/>
              </w:rPr>
              <w:t>ILLIQUID</w:t>
            </w:r>
          </w:p>
        </w:tc>
        <w:tc>
          <w:tcPr>
            <w:tcW w:w="4360" w:type="dxa"/>
            <w:tcBorders>
              <w:top w:val="single" w:sz="1" w:space="0" w:color="CBD5E1"/>
              <w:left w:val="single" w:sz="1" w:space="0" w:color="CBD5E1"/>
              <w:bottom w:val="single" w:sz="1" w:space="0" w:color="CBD5E1"/>
              <w:right w:val="single" w:sz="1" w:space="0" w:color="CBD5E1"/>
            </w:tcBorders>
            <w:shd w:val="clear" w:color="auto" w:fill="FEE2E2"/>
            <w:tcMar>
              <w:top w:w="100" w:type="dxa"/>
              <w:left w:w="120" w:type="dxa"/>
              <w:bottom w:w="100" w:type="dxa"/>
              <w:right w:w="120" w:type="dxa"/>
            </w:tcMar>
          </w:tcPr>
          <w:p w14:paraId="07E505DF" w14:textId="77777777" w:rsidR="00F63DB9" w:rsidRDefault="00000000">
            <w:r>
              <w:rPr>
                <w:color w:val="DC2626"/>
                <w:sz w:val="20"/>
                <w:szCs w:val="20"/>
              </w:rPr>
              <w:t>Effectively illiquid by institutional standards. Exit mechanism uncertain or slow. No secondary market. High illiquidity premium required.</w:t>
            </w:r>
          </w:p>
        </w:tc>
      </w:tr>
      <w:tr w:rsidR="00F63DB9" w14:paraId="29B00878" w14:textId="77777777">
        <w:tblPrEx>
          <w:tblCellMar>
            <w:top w:w="0" w:type="dxa"/>
            <w:bottom w:w="0" w:type="dxa"/>
          </w:tblCellMar>
        </w:tblPrEx>
        <w:tc>
          <w:tcPr>
            <w:tcW w:w="1400" w:type="dxa"/>
            <w:tcBorders>
              <w:top w:val="single" w:sz="1" w:space="0" w:color="CBD5E1"/>
              <w:left w:val="single" w:sz="1" w:space="0" w:color="CBD5E1"/>
              <w:bottom w:val="single" w:sz="1" w:space="0" w:color="CBD5E1"/>
              <w:right w:val="single" w:sz="1" w:space="0" w:color="CBD5E1"/>
            </w:tcBorders>
            <w:shd w:val="clear" w:color="auto" w:fill="F1F5F9"/>
            <w:tcMar>
              <w:top w:w="100" w:type="dxa"/>
              <w:left w:w="120" w:type="dxa"/>
              <w:bottom w:w="100" w:type="dxa"/>
              <w:right w:w="120" w:type="dxa"/>
            </w:tcMar>
          </w:tcPr>
          <w:p w14:paraId="58DE7D2A" w14:textId="77777777" w:rsidR="00F63DB9" w:rsidRDefault="00000000">
            <w:r>
              <w:rPr>
                <w:b/>
                <w:bCs/>
                <w:color w:val="64748B"/>
                <w:sz w:val="20"/>
                <w:szCs w:val="20"/>
              </w:rPr>
              <w:t>0–19</w:t>
            </w:r>
          </w:p>
        </w:tc>
        <w:tc>
          <w:tcPr>
            <w:tcW w:w="1800" w:type="dxa"/>
            <w:tcBorders>
              <w:top w:val="single" w:sz="1" w:space="0" w:color="CBD5E1"/>
              <w:left w:val="single" w:sz="1" w:space="0" w:color="CBD5E1"/>
              <w:bottom w:val="single" w:sz="1" w:space="0" w:color="CBD5E1"/>
              <w:right w:val="single" w:sz="1" w:space="0" w:color="CBD5E1"/>
            </w:tcBorders>
            <w:shd w:val="clear" w:color="auto" w:fill="F1F5F9"/>
            <w:tcMar>
              <w:top w:w="100" w:type="dxa"/>
              <w:left w:w="120" w:type="dxa"/>
              <w:bottom w:w="100" w:type="dxa"/>
              <w:right w:w="120" w:type="dxa"/>
            </w:tcMar>
          </w:tcPr>
          <w:p w14:paraId="6A748D7F" w14:textId="77777777" w:rsidR="00F63DB9" w:rsidRDefault="00000000">
            <w:r>
              <w:rPr>
                <w:b/>
                <w:bCs/>
                <w:color w:val="64748B"/>
                <w:sz w:val="20"/>
                <w:szCs w:val="20"/>
              </w:rPr>
              <w:t>LL-5</w:t>
            </w:r>
          </w:p>
        </w:tc>
        <w:tc>
          <w:tcPr>
            <w:tcW w:w="1800" w:type="dxa"/>
            <w:tcBorders>
              <w:top w:val="single" w:sz="1" w:space="0" w:color="CBD5E1"/>
              <w:left w:val="single" w:sz="1" w:space="0" w:color="CBD5E1"/>
              <w:bottom w:val="single" w:sz="1" w:space="0" w:color="CBD5E1"/>
              <w:right w:val="single" w:sz="1" w:space="0" w:color="CBD5E1"/>
            </w:tcBorders>
            <w:shd w:val="clear" w:color="auto" w:fill="F1F5F9"/>
            <w:tcMar>
              <w:top w:w="100" w:type="dxa"/>
              <w:left w:w="120" w:type="dxa"/>
              <w:bottom w:w="100" w:type="dxa"/>
              <w:right w:w="120" w:type="dxa"/>
            </w:tcMar>
          </w:tcPr>
          <w:p w14:paraId="146527CB" w14:textId="77777777" w:rsidR="00F63DB9" w:rsidRDefault="00000000">
            <w:r>
              <w:rPr>
                <w:b/>
                <w:bCs/>
                <w:color w:val="64748B"/>
                <w:sz w:val="20"/>
                <w:szCs w:val="20"/>
              </w:rPr>
              <w:t>LOCKED</w:t>
            </w:r>
          </w:p>
        </w:tc>
        <w:tc>
          <w:tcPr>
            <w:tcW w:w="4360" w:type="dxa"/>
            <w:tcBorders>
              <w:top w:val="single" w:sz="1" w:space="0" w:color="CBD5E1"/>
              <w:left w:val="single" w:sz="1" w:space="0" w:color="CBD5E1"/>
              <w:bottom w:val="single" w:sz="1" w:space="0" w:color="CBD5E1"/>
              <w:right w:val="single" w:sz="1" w:space="0" w:color="CBD5E1"/>
            </w:tcBorders>
            <w:shd w:val="clear" w:color="auto" w:fill="F1F5F9"/>
            <w:tcMar>
              <w:top w:w="100" w:type="dxa"/>
              <w:left w:w="120" w:type="dxa"/>
              <w:bottom w:w="100" w:type="dxa"/>
              <w:right w:w="120" w:type="dxa"/>
            </w:tcMar>
          </w:tcPr>
          <w:p w14:paraId="07B44462" w14:textId="77777777" w:rsidR="00F63DB9" w:rsidRDefault="00000000">
            <w:r>
              <w:rPr>
                <w:color w:val="64748B"/>
                <w:sz w:val="20"/>
                <w:szCs w:val="20"/>
              </w:rPr>
              <w:t>No practical exit mechanism exists or can be identified. Investment should be treated as fully illiquid for duration.</w:t>
            </w:r>
          </w:p>
        </w:tc>
      </w:tr>
    </w:tbl>
    <w:p w14:paraId="6141A528" w14:textId="77777777" w:rsidR="00F63DB9" w:rsidRDefault="00000000">
      <w:pPr>
        <w:spacing w:after="200" w:line="276" w:lineRule="auto"/>
      </w:pPr>
      <w:r>
        <w:rPr>
          <w:sz w:val="24"/>
          <w:szCs w:val="24"/>
        </w:rPr>
        <w:t xml:space="preserve"> </w:t>
      </w:r>
    </w:p>
    <w:p w14:paraId="2E69C6E6" w14:textId="77777777" w:rsidR="00F63DB9" w:rsidRDefault="00000000">
      <w:pPr>
        <w:pStyle w:val="Heading2"/>
        <w:pBdr>
          <w:bottom w:val="single" w:sz="4" w:space="4" w:color="CBD5E1"/>
        </w:pBdr>
      </w:pPr>
      <w:r>
        <w:t>6.2 Using RWALS Scores in Practice</w:t>
      </w:r>
    </w:p>
    <w:p w14:paraId="2B003774" w14:textId="77777777" w:rsidR="00F63DB9" w:rsidRDefault="00000000">
      <w:pPr>
        <w:spacing w:before="60" w:after="120" w:line="320" w:lineRule="auto"/>
      </w:pPr>
      <w:r>
        <w:t>RWALS scores are designed for three primary use cases, each of which applies the scores in a slightly different context:</w:t>
      </w:r>
    </w:p>
    <w:p w14:paraId="425C2512" w14:textId="77777777" w:rsidR="00F63DB9" w:rsidRDefault="00000000">
      <w:pPr>
        <w:pStyle w:val="Heading3"/>
      </w:pPr>
      <w:r>
        <w:t>Portfolio Construction</w:t>
      </w:r>
    </w:p>
    <w:p w14:paraId="64070BC3" w14:textId="77777777" w:rsidR="00F63DB9" w:rsidRDefault="00000000">
      <w:pPr>
        <w:spacing w:before="60" w:after="120" w:line="320" w:lineRule="auto"/>
      </w:pPr>
      <w:r>
        <w:t>An institutional allocator building an RWA portfolio can use RWALS scores to construct a liquidity ladder — deliberately allocating across score ranges to achieve a target portfolio-level liquidity profile. For example, a portfolio targeting 60% LL-1/LL-2 assets and 40% LL-3/LL-4 assets can be constructed and monitored systematically.</w:t>
      </w:r>
    </w:p>
    <w:p w14:paraId="7D5B2B13" w14:textId="77777777" w:rsidR="00F63DB9" w:rsidRDefault="00000000">
      <w:pPr>
        <w:pStyle w:val="Heading3"/>
      </w:pPr>
      <w:r>
        <w:t>DeFi Collateral Parameters</w:t>
      </w:r>
    </w:p>
    <w:p w14:paraId="2D90860B" w14:textId="77777777" w:rsidR="00F63DB9" w:rsidRDefault="00000000">
      <w:pPr>
        <w:spacing w:before="60" w:after="120" w:line="320" w:lineRule="auto"/>
      </w:pPr>
      <w:r>
        <w:t xml:space="preserve">DeFi protocols accepting RWAs as collateral can use RWALS scores as direct inputs to collateral factor calculations. A reasonable framework: LL-1 assets receive 85-90% collateral </w:t>
      </w:r>
      <w:r>
        <w:lastRenderedPageBreak/>
        <w:t>factors; LL-2 assets 70-80%; LL-3 assets 50-65%; LL-4 and LL-5 assets should generally not be accepted as collateral without significant additional safeguards.</w:t>
      </w:r>
    </w:p>
    <w:p w14:paraId="1C731D81" w14:textId="77777777" w:rsidR="00F63DB9" w:rsidRDefault="00000000">
      <w:pPr>
        <w:pStyle w:val="Heading3"/>
      </w:pPr>
      <w:r>
        <w:t>Regulatory Reporting</w:t>
      </w:r>
    </w:p>
    <w:p w14:paraId="073F989C" w14:textId="77777777" w:rsidR="00F63DB9" w:rsidRDefault="00000000">
      <w:pPr>
        <w:spacing w:before="60" w:after="120" w:line="320" w:lineRule="auto"/>
      </w:pPr>
      <w:r>
        <w:t>As regulatory frameworks for tokenized finance mature, liquidity classification of RWA holdings is likely to become a mandatory reporting requirement. RWALS provides a ready-made, auditable, and methodologically transparent classification framework that can be adopted or referenced by regulatory guidance.</w:t>
      </w:r>
    </w:p>
    <w:p w14:paraId="2DCE5BBC" w14:textId="77777777" w:rsidR="00F63DB9" w:rsidRDefault="00000000">
      <w:r>
        <w:br w:type="page"/>
      </w:r>
    </w:p>
    <w:p w14:paraId="60A20493" w14:textId="77777777" w:rsidR="00F63DB9" w:rsidRDefault="00000000">
      <w:pPr>
        <w:pStyle w:val="Heading1"/>
      </w:pPr>
      <w:r>
        <w:lastRenderedPageBreak/>
        <w:t>Chapter 11: RWALS Master Score Table — Version 1.0</w:t>
      </w:r>
    </w:p>
    <w:p w14:paraId="42966DF8" w14:textId="77777777" w:rsidR="00F63DB9" w:rsidRDefault="00000000">
      <w:pPr>
        <w:spacing w:before="60" w:after="120" w:line="320" w:lineRule="auto"/>
      </w:pPr>
      <w:r>
        <w:t xml:space="preserve">The following table presents RWALS scores for 15 </w:t>
      </w:r>
      <w:proofErr w:type="gramStart"/>
      <w:r>
        <w:t>major</w:t>
      </w:r>
      <w:proofErr w:type="gramEnd"/>
      <w:r>
        <w:t xml:space="preserve"> tokenized RWA assets, representing the inaugural release of the RWALS scoring system. All scores reflect market structure as of Q1 2025. Methodology Version 1.0.</w:t>
      </w:r>
    </w:p>
    <w:p w14:paraId="20059285" w14:textId="77777777" w:rsidR="00F63DB9" w:rsidRDefault="00000000">
      <w:pPr>
        <w:spacing w:after="80" w:line="276" w:lineRule="auto"/>
      </w:pPr>
      <w:r>
        <w:rPr>
          <w:sz w:val="24"/>
          <w:szCs w:val="24"/>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1"/>
        <w:gridCol w:w="1931"/>
        <w:gridCol w:w="1164"/>
        <w:gridCol w:w="900"/>
        <w:gridCol w:w="761"/>
        <w:gridCol w:w="667"/>
        <w:gridCol w:w="718"/>
        <w:gridCol w:w="663"/>
        <w:gridCol w:w="712"/>
        <w:gridCol w:w="673"/>
      </w:tblGrid>
      <w:tr w:rsidR="00F63DB9" w14:paraId="34F7C85B" w14:textId="77777777">
        <w:tblPrEx>
          <w:tblCellMar>
            <w:top w:w="0" w:type="dxa"/>
            <w:bottom w:w="0" w:type="dxa"/>
          </w:tblCellMar>
        </w:tblPrEx>
        <w:trPr>
          <w:tblHeader/>
        </w:trPr>
        <w:tc>
          <w:tcPr>
            <w:tcW w:w="136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10D2C07A" w14:textId="77777777" w:rsidR="00F63DB9" w:rsidRDefault="00000000">
            <w:pPr>
              <w:jc w:val="center"/>
            </w:pPr>
            <w:r>
              <w:rPr>
                <w:b/>
                <w:bCs/>
                <w:color w:val="FFFFFF"/>
                <w:sz w:val="18"/>
                <w:szCs w:val="18"/>
              </w:rPr>
              <w:t>Asset</w:t>
            </w:r>
          </w:p>
        </w:tc>
        <w:tc>
          <w:tcPr>
            <w:tcW w:w="136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002EB8BA" w14:textId="77777777" w:rsidR="00F63DB9" w:rsidRDefault="00000000">
            <w:pPr>
              <w:jc w:val="center"/>
            </w:pPr>
            <w:r>
              <w:rPr>
                <w:b/>
                <w:bCs/>
                <w:color w:val="FFFFFF"/>
                <w:sz w:val="18"/>
                <w:szCs w:val="18"/>
              </w:rPr>
              <w:t>Issuer</w:t>
            </w:r>
          </w:p>
        </w:tc>
        <w:tc>
          <w:tcPr>
            <w:tcW w:w="76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1B717816" w14:textId="77777777" w:rsidR="00F63DB9" w:rsidRDefault="00000000">
            <w:pPr>
              <w:jc w:val="center"/>
            </w:pPr>
            <w:r>
              <w:rPr>
                <w:b/>
                <w:bCs/>
                <w:color w:val="FFFFFF"/>
                <w:sz w:val="18"/>
                <w:szCs w:val="18"/>
              </w:rPr>
              <w:t>Category</w:t>
            </w:r>
          </w:p>
        </w:tc>
        <w:tc>
          <w:tcPr>
            <w:tcW w:w="76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6B18A687" w14:textId="77777777" w:rsidR="00F63DB9" w:rsidRDefault="00000000">
            <w:pPr>
              <w:jc w:val="center"/>
            </w:pPr>
            <w:r>
              <w:rPr>
                <w:b/>
                <w:bCs/>
                <w:color w:val="FFFFFF"/>
                <w:sz w:val="18"/>
                <w:szCs w:val="18"/>
              </w:rPr>
              <w:t>RWALS</w:t>
            </w:r>
          </w:p>
        </w:tc>
        <w:tc>
          <w:tcPr>
            <w:tcW w:w="76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2BB97CA9" w14:textId="77777777" w:rsidR="00F63DB9" w:rsidRDefault="00000000">
            <w:pPr>
              <w:jc w:val="center"/>
            </w:pPr>
            <w:r>
              <w:rPr>
                <w:b/>
                <w:bCs/>
                <w:color w:val="FFFFFF"/>
                <w:sz w:val="18"/>
                <w:szCs w:val="18"/>
              </w:rPr>
              <w:t>Grade</w:t>
            </w:r>
          </w:p>
        </w:tc>
        <w:tc>
          <w:tcPr>
            <w:tcW w:w="76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05F01D5D" w14:textId="77777777" w:rsidR="00F63DB9" w:rsidRDefault="00000000">
            <w:pPr>
              <w:jc w:val="center"/>
            </w:pPr>
            <w:r>
              <w:rPr>
                <w:b/>
                <w:bCs/>
                <w:color w:val="FFFFFF"/>
                <w:sz w:val="18"/>
                <w:szCs w:val="18"/>
              </w:rPr>
              <w:t>RV</w:t>
            </w:r>
          </w:p>
        </w:tc>
        <w:tc>
          <w:tcPr>
            <w:tcW w:w="76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67A33493" w14:textId="77777777" w:rsidR="00F63DB9" w:rsidRDefault="00000000">
            <w:pPr>
              <w:jc w:val="center"/>
            </w:pPr>
            <w:r>
              <w:rPr>
                <w:b/>
                <w:bCs/>
                <w:color w:val="FFFFFF"/>
                <w:sz w:val="18"/>
                <w:szCs w:val="18"/>
              </w:rPr>
              <w:t>SMD</w:t>
            </w:r>
          </w:p>
        </w:tc>
        <w:tc>
          <w:tcPr>
            <w:tcW w:w="76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7B24E9A7" w14:textId="77777777" w:rsidR="00F63DB9" w:rsidRDefault="00000000">
            <w:pPr>
              <w:jc w:val="center"/>
            </w:pPr>
            <w:r>
              <w:rPr>
                <w:b/>
                <w:bCs/>
                <w:color w:val="FFFFFF"/>
                <w:sz w:val="18"/>
                <w:szCs w:val="18"/>
              </w:rPr>
              <w:t>TR</w:t>
            </w:r>
          </w:p>
        </w:tc>
        <w:tc>
          <w:tcPr>
            <w:tcW w:w="76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5224AE58" w14:textId="77777777" w:rsidR="00F63DB9" w:rsidRDefault="00000000">
            <w:pPr>
              <w:jc w:val="center"/>
            </w:pPr>
            <w:r>
              <w:rPr>
                <w:b/>
                <w:bCs/>
                <w:color w:val="FFFFFF"/>
                <w:sz w:val="18"/>
                <w:szCs w:val="18"/>
              </w:rPr>
              <w:t>NAV</w:t>
            </w:r>
          </w:p>
        </w:tc>
        <w:tc>
          <w:tcPr>
            <w:tcW w:w="76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6441376A" w14:textId="77777777" w:rsidR="00F63DB9" w:rsidRDefault="00000000">
            <w:pPr>
              <w:jc w:val="center"/>
            </w:pPr>
            <w:r>
              <w:rPr>
                <w:b/>
                <w:bCs/>
                <w:color w:val="FFFFFF"/>
                <w:sz w:val="18"/>
                <w:szCs w:val="18"/>
              </w:rPr>
              <w:t>PM</w:t>
            </w:r>
          </w:p>
        </w:tc>
      </w:tr>
      <w:tr w:rsidR="00F63DB9" w14:paraId="5C14896F" w14:textId="77777777">
        <w:tblPrEx>
          <w:tblCellMar>
            <w:top w:w="0" w:type="dxa"/>
            <w:bottom w:w="0" w:type="dxa"/>
          </w:tblCellMar>
        </w:tblPrEx>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0CE25A6" w14:textId="77777777" w:rsidR="00F63DB9" w:rsidRDefault="00000000">
            <w:r>
              <w:rPr>
                <w:b/>
                <w:bCs/>
                <w:color w:val="0A1628"/>
                <w:sz w:val="18"/>
                <w:szCs w:val="18"/>
              </w:rPr>
              <w:t>PAXG</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1F871BF0" w14:textId="77777777" w:rsidR="00F63DB9" w:rsidRDefault="00000000">
            <w:r>
              <w:rPr>
                <w:color w:val="64748B"/>
                <w:sz w:val="18"/>
                <w:szCs w:val="18"/>
              </w:rPr>
              <w:t>Paxos</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1D47765E" w14:textId="77777777" w:rsidR="00F63DB9" w:rsidRDefault="00000000">
            <w:r>
              <w:rPr>
                <w:color w:val="64748B"/>
                <w:sz w:val="18"/>
                <w:szCs w:val="18"/>
              </w:rPr>
              <w:t>Commodity</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5994C61E" w14:textId="77777777" w:rsidR="00F63DB9" w:rsidRDefault="00000000">
            <w:pPr>
              <w:jc w:val="center"/>
            </w:pPr>
            <w:r>
              <w:rPr>
                <w:b/>
                <w:bCs/>
                <w:color w:val="059669"/>
                <w:sz w:val="18"/>
                <w:szCs w:val="18"/>
              </w:rPr>
              <w:t>98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3B816229" w14:textId="77777777" w:rsidR="00F63DB9" w:rsidRDefault="00000000">
            <w:pPr>
              <w:jc w:val="center"/>
            </w:pPr>
            <w:r>
              <w:rPr>
                <w:b/>
                <w:bCs/>
                <w:color w:val="059669"/>
                <w:sz w:val="18"/>
                <w:szCs w:val="18"/>
              </w:rPr>
              <w:t>LL-1</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D9FA2FF" w14:textId="77777777" w:rsidR="00F63DB9" w:rsidRDefault="00000000">
            <w:pPr>
              <w:jc w:val="center"/>
            </w:pPr>
            <w:r>
              <w:rPr>
                <w:sz w:val="18"/>
                <w:szCs w:val="18"/>
              </w:rPr>
              <w:t>25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03D0441" w14:textId="77777777" w:rsidR="00F63DB9" w:rsidRDefault="00000000">
            <w:pPr>
              <w:jc w:val="center"/>
            </w:pPr>
            <w:r>
              <w:rPr>
                <w:sz w:val="18"/>
                <w:szCs w:val="18"/>
              </w:rPr>
              <w:t>24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5FD8EF94" w14:textId="77777777" w:rsidR="00F63DB9" w:rsidRDefault="00000000">
            <w:pPr>
              <w:jc w:val="center"/>
            </w:pPr>
            <w:r>
              <w:rPr>
                <w:sz w:val="18"/>
                <w:szCs w:val="18"/>
              </w:rPr>
              <w:t>20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06BE2ED" w14:textId="77777777" w:rsidR="00F63DB9" w:rsidRDefault="00000000">
            <w:pPr>
              <w:jc w:val="center"/>
            </w:pPr>
            <w:r>
              <w:rPr>
                <w:sz w:val="18"/>
                <w:szCs w:val="18"/>
              </w:rPr>
              <w:t>15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5ED4FA0" w14:textId="77777777" w:rsidR="00F63DB9" w:rsidRDefault="00000000">
            <w:pPr>
              <w:jc w:val="center"/>
            </w:pPr>
            <w:r>
              <w:rPr>
                <w:sz w:val="18"/>
                <w:szCs w:val="18"/>
              </w:rPr>
              <w:t>14</w:t>
            </w:r>
          </w:p>
        </w:tc>
      </w:tr>
      <w:tr w:rsidR="00F63DB9" w14:paraId="71E8E393" w14:textId="77777777">
        <w:tblPrEx>
          <w:tblCellMar>
            <w:top w:w="0" w:type="dxa"/>
            <w:bottom w:w="0" w:type="dxa"/>
          </w:tblCellMar>
        </w:tblPrEx>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1AE95F23" w14:textId="77777777" w:rsidR="00F63DB9" w:rsidRDefault="00000000">
            <w:r>
              <w:rPr>
                <w:b/>
                <w:bCs/>
                <w:color w:val="0A1628"/>
                <w:sz w:val="18"/>
                <w:szCs w:val="18"/>
              </w:rPr>
              <w:t>XAUT</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05F38634" w14:textId="77777777" w:rsidR="00F63DB9" w:rsidRDefault="00000000">
            <w:r>
              <w:rPr>
                <w:color w:val="64748B"/>
                <w:sz w:val="18"/>
                <w:szCs w:val="18"/>
              </w:rPr>
              <w:t>Tether</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A702D1D" w14:textId="77777777" w:rsidR="00F63DB9" w:rsidRDefault="00000000">
            <w:r>
              <w:rPr>
                <w:color w:val="64748B"/>
                <w:sz w:val="18"/>
                <w:szCs w:val="18"/>
              </w:rPr>
              <w:t>Commodity</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C7FA286" w14:textId="77777777" w:rsidR="00F63DB9" w:rsidRDefault="00000000">
            <w:pPr>
              <w:jc w:val="center"/>
            </w:pPr>
            <w:r>
              <w:rPr>
                <w:b/>
                <w:bCs/>
                <w:color w:val="059669"/>
                <w:sz w:val="18"/>
                <w:szCs w:val="18"/>
              </w:rPr>
              <w:t>94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778AEB95" w14:textId="77777777" w:rsidR="00F63DB9" w:rsidRDefault="00000000">
            <w:pPr>
              <w:jc w:val="center"/>
            </w:pPr>
            <w:r>
              <w:rPr>
                <w:b/>
                <w:bCs/>
                <w:color w:val="059669"/>
                <w:sz w:val="18"/>
                <w:szCs w:val="18"/>
              </w:rPr>
              <w:t>LL-1</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77CAB8A" w14:textId="77777777" w:rsidR="00F63DB9" w:rsidRDefault="00000000">
            <w:pPr>
              <w:jc w:val="center"/>
            </w:pPr>
            <w:r>
              <w:rPr>
                <w:sz w:val="18"/>
                <w:szCs w:val="18"/>
              </w:rPr>
              <w:t>24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74CDA313" w14:textId="77777777" w:rsidR="00F63DB9" w:rsidRDefault="00000000">
            <w:pPr>
              <w:jc w:val="center"/>
            </w:pPr>
            <w:r>
              <w:rPr>
                <w:sz w:val="18"/>
                <w:szCs w:val="18"/>
              </w:rPr>
              <w:t>23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0FF5F6DB" w14:textId="77777777" w:rsidR="00F63DB9" w:rsidRDefault="00000000">
            <w:pPr>
              <w:jc w:val="center"/>
            </w:pPr>
            <w:r>
              <w:rPr>
                <w:sz w:val="18"/>
                <w:szCs w:val="18"/>
              </w:rPr>
              <w:t>20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A0BF936" w14:textId="77777777" w:rsidR="00F63DB9" w:rsidRDefault="00000000">
            <w:pPr>
              <w:jc w:val="center"/>
            </w:pPr>
            <w:r>
              <w:rPr>
                <w:sz w:val="18"/>
                <w:szCs w:val="18"/>
              </w:rPr>
              <w:t>15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8647BA9" w14:textId="77777777" w:rsidR="00F63DB9" w:rsidRDefault="00000000">
            <w:pPr>
              <w:jc w:val="center"/>
            </w:pPr>
            <w:r>
              <w:rPr>
                <w:sz w:val="18"/>
                <w:szCs w:val="18"/>
              </w:rPr>
              <w:t>12</w:t>
            </w:r>
          </w:p>
        </w:tc>
      </w:tr>
      <w:tr w:rsidR="00F63DB9" w14:paraId="4DE1D47C" w14:textId="77777777">
        <w:tblPrEx>
          <w:tblCellMar>
            <w:top w:w="0" w:type="dxa"/>
            <w:bottom w:w="0" w:type="dxa"/>
          </w:tblCellMar>
        </w:tblPrEx>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0E6F6ECC" w14:textId="77777777" w:rsidR="00F63DB9" w:rsidRDefault="00000000">
            <w:r>
              <w:rPr>
                <w:b/>
                <w:bCs/>
                <w:color w:val="0A1628"/>
                <w:sz w:val="18"/>
                <w:szCs w:val="18"/>
              </w:rPr>
              <w:t>USDY</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3FA4D44" w14:textId="77777777" w:rsidR="00F63DB9" w:rsidRDefault="00000000">
            <w:r>
              <w:rPr>
                <w:color w:val="64748B"/>
                <w:sz w:val="18"/>
                <w:szCs w:val="18"/>
              </w:rPr>
              <w:t>Ondo Finance</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14731CA5" w14:textId="77777777" w:rsidR="00F63DB9" w:rsidRDefault="00000000">
            <w:r>
              <w:rPr>
                <w:color w:val="64748B"/>
                <w:sz w:val="18"/>
                <w:szCs w:val="18"/>
              </w:rPr>
              <w:t>Treasury</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1F1EB1D9" w14:textId="77777777" w:rsidR="00F63DB9" w:rsidRDefault="00000000">
            <w:pPr>
              <w:jc w:val="center"/>
            </w:pPr>
            <w:r>
              <w:rPr>
                <w:b/>
                <w:bCs/>
                <w:color w:val="059669"/>
                <w:sz w:val="18"/>
                <w:szCs w:val="18"/>
              </w:rPr>
              <w:t>82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77998561" w14:textId="77777777" w:rsidR="00F63DB9" w:rsidRDefault="00000000">
            <w:pPr>
              <w:jc w:val="center"/>
            </w:pPr>
            <w:r>
              <w:rPr>
                <w:b/>
                <w:bCs/>
                <w:color w:val="059669"/>
                <w:sz w:val="18"/>
                <w:szCs w:val="18"/>
              </w:rPr>
              <w:t>LL-1</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579ED93E" w14:textId="77777777" w:rsidR="00F63DB9" w:rsidRDefault="00000000">
            <w:pPr>
              <w:jc w:val="center"/>
            </w:pPr>
            <w:r>
              <w:rPr>
                <w:sz w:val="18"/>
                <w:szCs w:val="18"/>
              </w:rPr>
              <w:t>24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0400F4DF" w14:textId="77777777" w:rsidR="00F63DB9" w:rsidRDefault="00000000">
            <w:pPr>
              <w:jc w:val="center"/>
            </w:pPr>
            <w:r>
              <w:rPr>
                <w:sz w:val="18"/>
                <w:szCs w:val="18"/>
              </w:rPr>
              <w:t>18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33BEBE38" w14:textId="77777777" w:rsidR="00F63DB9" w:rsidRDefault="00000000">
            <w:pPr>
              <w:jc w:val="center"/>
            </w:pPr>
            <w:r>
              <w:rPr>
                <w:sz w:val="18"/>
                <w:szCs w:val="18"/>
              </w:rPr>
              <w:t>14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37942E74" w14:textId="77777777" w:rsidR="00F63DB9" w:rsidRDefault="00000000">
            <w:pPr>
              <w:jc w:val="center"/>
            </w:pPr>
            <w:r>
              <w:rPr>
                <w:sz w:val="18"/>
                <w:szCs w:val="18"/>
              </w:rPr>
              <w:t>13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4AC6F640" w14:textId="77777777" w:rsidR="00F63DB9" w:rsidRDefault="00000000">
            <w:pPr>
              <w:jc w:val="center"/>
            </w:pPr>
            <w:r>
              <w:rPr>
                <w:sz w:val="18"/>
                <w:szCs w:val="18"/>
              </w:rPr>
              <w:t>13</w:t>
            </w:r>
          </w:p>
        </w:tc>
      </w:tr>
      <w:tr w:rsidR="00F63DB9" w14:paraId="4536CB51" w14:textId="77777777">
        <w:tblPrEx>
          <w:tblCellMar>
            <w:top w:w="0" w:type="dxa"/>
            <w:bottom w:w="0" w:type="dxa"/>
          </w:tblCellMar>
        </w:tblPrEx>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BA16DB7" w14:textId="77777777" w:rsidR="00F63DB9" w:rsidRDefault="00000000">
            <w:r>
              <w:rPr>
                <w:b/>
                <w:bCs/>
                <w:color w:val="0A1628"/>
                <w:sz w:val="18"/>
                <w:szCs w:val="18"/>
              </w:rPr>
              <w:t>USYC</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AFAE910" w14:textId="77777777" w:rsidR="00F63DB9" w:rsidRDefault="00000000">
            <w:proofErr w:type="spellStart"/>
            <w:r>
              <w:rPr>
                <w:color w:val="64748B"/>
                <w:sz w:val="18"/>
                <w:szCs w:val="18"/>
              </w:rPr>
              <w:t>Hashnote</w:t>
            </w:r>
            <w:proofErr w:type="spellEnd"/>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76CBCDB8" w14:textId="77777777" w:rsidR="00F63DB9" w:rsidRDefault="00000000">
            <w:r>
              <w:rPr>
                <w:color w:val="64748B"/>
                <w:sz w:val="18"/>
                <w:szCs w:val="18"/>
              </w:rPr>
              <w:t>Treasury</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03A013EB" w14:textId="77777777" w:rsidR="00F63DB9" w:rsidRDefault="00000000">
            <w:pPr>
              <w:jc w:val="center"/>
            </w:pPr>
            <w:r>
              <w:rPr>
                <w:b/>
                <w:bCs/>
                <w:color w:val="D97706"/>
                <w:sz w:val="18"/>
                <w:szCs w:val="18"/>
              </w:rPr>
              <w:t>69</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F28CC74" w14:textId="77777777" w:rsidR="00F63DB9" w:rsidRDefault="00000000">
            <w:pPr>
              <w:jc w:val="center"/>
            </w:pPr>
            <w:r>
              <w:rPr>
                <w:b/>
                <w:bCs/>
                <w:color w:val="D97706"/>
                <w:sz w:val="18"/>
                <w:szCs w:val="18"/>
              </w:rPr>
              <w:t>LL-2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4B384CD1" w14:textId="77777777" w:rsidR="00F63DB9" w:rsidRDefault="00000000">
            <w:pPr>
              <w:jc w:val="center"/>
            </w:pPr>
            <w:r>
              <w:rPr>
                <w:sz w:val="18"/>
                <w:szCs w:val="18"/>
              </w:rPr>
              <w:t>22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49E7BD20" w14:textId="77777777" w:rsidR="00F63DB9" w:rsidRDefault="00000000">
            <w:pPr>
              <w:jc w:val="center"/>
            </w:pPr>
            <w:r>
              <w:rPr>
                <w:sz w:val="18"/>
                <w:szCs w:val="18"/>
              </w:rPr>
              <w:t>12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5A4F4E3D" w14:textId="77777777" w:rsidR="00F63DB9" w:rsidRDefault="00000000">
            <w:pPr>
              <w:jc w:val="center"/>
            </w:pPr>
            <w:r>
              <w:rPr>
                <w:sz w:val="18"/>
                <w:szCs w:val="18"/>
              </w:rPr>
              <w:t>12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F795D4B" w14:textId="77777777" w:rsidR="00F63DB9" w:rsidRDefault="00000000">
            <w:pPr>
              <w:jc w:val="center"/>
            </w:pPr>
            <w:r>
              <w:rPr>
                <w:sz w:val="18"/>
                <w:szCs w:val="18"/>
              </w:rPr>
              <w:t>12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5DFCC5A2" w14:textId="77777777" w:rsidR="00F63DB9" w:rsidRDefault="00000000">
            <w:pPr>
              <w:jc w:val="center"/>
            </w:pPr>
            <w:r>
              <w:rPr>
                <w:sz w:val="18"/>
                <w:szCs w:val="18"/>
              </w:rPr>
              <w:t>11</w:t>
            </w:r>
          </w:p>
        </w:tc>
      </w:tr>
      <w:tr w:rsidR="00F63DB9" w14:paraId="4789B770" w14:textId="77777777">
        <w:tblPrEx>
          <w:tblCellMar>
            <w:top w:w="0" w:type="dxa"/>
            <w:bottom w:w="0" w:type="dxa"/>
          </w:tblCellMar>
        </w:tblPrEx>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222B8BE" w14:textId="77777777" w:rsidR="00F63DB9" w:rsidRDefault="00000000">
            <w:r>
              <w:rPr>
                <w:b/>
                <w:bCs/>
                <w:color w:val="0A1628"/>
                <w:sz w:val="18"/>
                <w:szCs w:val="18"/>
              </w:rPr>
              <w:t>USCC</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9163473" w14:textId="77777777" w:rsidR="00F63DB9" w:rsidRDefault="00000000">
            <w:r>
              <w:rPr>
                <w:color w:val="64748B"/>
                <w:sz w:val="18"/>
                <w:szCs w:val="18"/>
              </w:rPr>
              <w:t>Superstate</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13E72168" w14:textId="77777777" w:rsidR="00F63DB9" w:rsidRDefault="00000000">
            <w:r>
              <w:rPr>
                <w:color w:val="64748B"/>
                <w:sz w:val="18"/>
                <w:szCs w:val="18"/>
              </w:rPr>
              <w:t>Treasury</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4F94F66" w14:textId="77777777" w:rsidR="00F63DB9" w:rsidRDefault="00000000">
            <w:pPr>
              <w:jc w:val="center"/>
            </w:pPr>
            <w:r>
              <w:rPr>
                <w:b/>
                <w:bCs/>
                <w:color w:val="D97706"/>
                <w:sz w:val="18"/>
                <w:szCs w:val="18"/>
              </w:rPr>
              <w:t>68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0B67D3E0" w14:textId="77777777" w:rsidR="00F63DB9" w:rsidRDefault="00000000">
            <w:pPr>
              <w:jc w:val="center"/>
            </w:pPr>
            <w:r>
              <w:rPr>
                <w:b/>
                <w:bCs/>
                <w:color w:val="D97706"/>
                <w:sz w:val="18"/>
                <w:szCs w:val="18"/>
              </w:rPr>
              <w:t>LL-2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937E75B" w14:textId="77777777" w:rsidR="00F63DB9" w:rsidRDefault="00000000">
            <w:pPr>
              <w:jc w:val="center"/>
            </w:pPr>
            <w:r>
              <w:rPr>
                <w:sz w:val="18"/>
                <w:szCs w:val="18"/>
              </w:rPr>
              <w:t>22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0B363A0" w14:textId="77777777" w:rsidR="00F63DB9" w:rsidRDefault="00000000">
            <w:pPr>
              <w:jc w:val="center"/>
            </w:pPr>
            <w:r>
              <w:rPr>
                <w:sz w:val="18"/>
                <w:szCs w:val="18"/>
              </w:rPr>
              <w:t>12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5D01DB99" w14:textId="77777777" w:rsidR="00F63DB9" w:rsidRDefault="00000000">
            <w:pPr>
              <w:jc w:val="center"/>
            </w:pPr>
            <w:r>
              <w:rPr>
                <w:sz w:val="18"/>
                <w:szCs w:val="18"/>
              </w:rPr>
              <w:t>12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B525AB2" w14:textId="77777777" w:rsidR="00F63DB9" w:rsidRDefault="00000000">
            <w:pPr>
              <w:jc w:val="center"/>
            </w:pPr>
            <w:r>
              <w:rPr>
                <w:sz w:val="18"/>
                <w:szCs w:val="18"/>
              </w:rPr>
              <w:t>12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116E178A" w14:textId="77777777" w:rsidR="00F63DB9" w:rsidRDefault="00000000">
            <w:pPr>
              <w:jc w:val="center"/>
            </w:pPr>
            <w:r>
              <w:rPr>
                <w:sz w:val="18"/>
                <w:szCs w:val="18"/>
              </w:rPr>
              <w:t>11</w:t>
            </w:r>
          </w:p>
        </w:tc>
      </w:tr>
      <w:tr w:rsidR="00F63DB9" w14:paraId="3858BF02" w14:textId="77777777">
        <w:tblPrEx>
          <w:tblCellMar>
            <w:top w:w="0" w:type="dxa"/>
            <w:bottom w:w="0" w:type="dxa"/>
          </w:tblCellMar>
        </w:tblPrEx>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094F2745" w14:textId="77777777" w:rsidR="00F63DB9" w:rsidRDefault="00000000">
            <w:r>
              <w:rPr>
                <w:b/>
                <w:bCs/>
                <w:color w:val="0A1628"/>
                <w:sz w:val="18"/>
                <w:szCs w:val="18"/>
              </w:rPr>
              <w:t>OUSG</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3CA244E7" w14:textId="77777777" w:rsidR="00F63DB9" w:rsidRDefault="00000000">
            <w:r>
              <w:rPr>
                <w:color w:val="64748B"/>
                <w:sz w:val="18"/>
                <w:szCs w:val="18"/>
              </w:rPr>
              <w:t>Ondo Finance</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383A2CA8" w14:textId="77777777" w:rsidR="00F63DB9" w:rsidRDefault="00000000">
            <w:r>
              <w:rPr>
                <w:color w:val="64748B"/>
                <w:sz w:val="18"/>
                <w:szCs w:val="18"/>
              </w:rPr>
              <w:t>Treasury</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AD00199" w14:textId="77777777" w:rsidR="00F63DB9" w:rsidRDefault="00000000">
            <w:pPr>
              <w:jc w:val="center"/>
            </w:pPr>
            <w:r>
              <w:rPr>
                <w:b/>
                <w:bCs/>
                <w:color w:val="D97706"/>
                <w:sz w:val="18"/>
                <w:szCs w:val="18"/>
              </w:rPr>
              <w:t>73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08DA18E3" w14:textId="77777777" w:rsidR="00F63DB9" w:rsidRDefault="00000000">
            <w:pPr>
              <w:jc w:val="center"/>
            </w:pPr>
            <w:r>
              <w:rPr>
                <w:b/>
                <w:bCs/>
                <w:color w:val="D97706"/>
                <w:sz w:val="18"/>
                <w:szCs w:val="18"/>
              </w:rPr>
              <w:t>LL-2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31F968D3" w14:textId="77777777" w:rsidR="00F63DB9" w:rsidRDefault="00000000">
            <w:pPr>
              <w:jc w:val="center"/>
            </w:pPr>
            <w:r>
              <w:rPr>
                <w:sz w:val="18"/>
                <w:szCs w:val="18"/>
              </w:rPr>
              <w:t>22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48372E82" w14:textId="77777777" w:rsidR="00F63DB9" w:rsidRDefault="00000000">
            <w:pPr>
              <w:jc w:val="center"/>
            </w:pPr>
            <w:r>
              <w:rPr>
                <w:sz w:val="18"/>
                <w:szCs w:val="18"/>
              </w:rPr>
              <w:t>14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0800127D" w14:textId="77777777" w:rsidR="00F63DB9" w:rsidRDefault="00000000">
            <w:pPr>
              <w:jc w:val="center"/>
            </w:pPr>
            <w:r>
              <w:rPr>
                <w:sz w:val="18"/>
                <w:szCs w:val="18"/>
              </w:rPr>
              <w:t>12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05D1F00C" w14:textId="77777777" w:rsidR="00F63DB9" w:rsidRDefault="00000000">
            <w:pPr>
              <w:jc w:val="center"/>
            </w:pPr>
            <w:r>
              <w:rPr>
                <w:sz w:val="18"/>
                <w:szCs w:val="18"/>
              </w:rPr>
              <w:t>12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1F2BD65" w14:textId="77777777" w:rsidR="00F63DB9" w:rsidRDefault="00000000">
            <w:pPr>
              <w:jc w:val="center"/>
            </w:pPr>
            <w:r>
              <w:rPr>
                <w:sz w:val="18"/>
                <w:szCs w:val="18"/>
              </w:rPr>
              <w:t>13</w:t>
            </w:r>
          </w:p>
        </w:tc>
      </w:tr>
      <w:tr w:rsidR="00F63DB9" w14:paraId="4D1057F4" w14:textId="77777777">
        <w:tblPrEx>
          <w:tblCellMar>
            <w:top w:w="0" w:type="dxa"/>
            <w:bottom w:w="0" w:type="dxa"/>
          </w:tblCellMar>
        </w:tblPrEx>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3FA4781C" w14:textId="77777777" w:rsidR="00F63DB9" w:rsidRDefault="00000000">
            <w:r>
              <w:rPr>
                <w:b/>
                <w:bCs/>
                <w:color w:val="0A1628"/>
                <w:sz w:val="18"/>
                <w:szCs w:val="18"/>
              </w:rPr>
              <w:t>T-BILL</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3A08F7C" w14:textId="77777777" w:rsidR="00F63DB9" w:rsidRDefault="00000000">
            <w:proofErr w:type="spellStart"/>
            <w:r>
              <w:rPr>
                <w:color w:val="64748B"/>
                <w:sz w:val="18"/>
                <w:szCs w:val="18"/>
              </w:rPr>
              <w:t>Matrixdock</w:t>
            </w:r>
            <w:proofErr w:type="spellEnd"/>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1AD3C32" w14:textId="77777777" w:rsidR="00F63DB9" w:rsidRDefault="00000000">
            <w:r>
              <w:rPr>
                <w:color w:val="64748B"/>
                <w:sz w:val="18"/>
                <w:szCs w:val="18"/>
              </w:rPr>
              <w:t>Treasury</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4DEB3430" w14:textId="77777777" w:rsidR="00F63DB9" w:rsidRDefault="00000000">
            <w:pPr>
              <w:jc w:val="center"/>
            </w:pPr>
            <w:r>
              <w:rPr>
                <w:b/>
                <w:bCs/>
                <w:color w:val="D97706"/>
                <w:sz w:val="18"/>
                <w:szCs w:val="18"/>
              </w:rPr>
              <w:t>56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533DF01A" w14:textId="77777777" w:rsidR="00F63DB9" w:rsidRDefault="00000000">
            <w:pPr>
              <w:jc w:val="center"/>
            </w:pPr>
            <w:r>
              <w:rPr>
                <w:b/>
                <w:bCs/>
                <w:color w:val="D97706"/>
                <w:sz w:val="18"/>
                <w:szCs w:val="18"/>
              </w:rPr>
              <w:t>LL-3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0A30E70C" w14:textId="77777777" w:rsidR="00F63DB9" w:rsidRDefault="00000000">
            <w:pPr>
              <w:jc w:val="center"/>
            </w:pPr>
            <w:r>
              <w:rPr>
                <w:sz w:val="18"/>
                <w:szCs w:val="18"/>
              </w:rPr>
              <w:t>16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111C636C" w14:textId="77777777" w:rsidR="00F63DB9" w:rsidRDefault="00000000">
            <w:pPr>
              <w:jc w:val="center"/>
            </w:pPr>
            <w:r>
              <w:rPr>
                <w:sz w:val="18"/>
                <w:szCs w:val="18"/>
              </w:rPr>
              <w:t>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091ED239" w14:textId="77777777" w:rsidR="00F63DB9" w:rsidRDefault="00000000">
            <w:pPr>
              <w:jc w:val="center"/>
            </w:pPr>
            <w:r>
              <w:rPr>
                <w:sz w:val="18"/>
                <w:szCs w:val="18"/>
              </w:rPr>
              <w:t>12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7E7379B8" w14:textId="77777777" w:rsidR="00F63DB9" w:rsidRDefault="00000000">
            <w:pPr>
              <w:jc w:val="center"/>
            </w:pPr>
            <w:r>
              <w:rPr>
                <w:sz w:val="18"/>
                <w:szCs w:val="18"/>
              </w:rPr>
              <w:t>12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F117DB5" w14:textId="77777777" w:rsidR="00F63DB9" w:rsidRDefault="00000000">
            <w:pPr>
              <w:jc w:val="center"/>
            </w:pPr>
            <w:r>
              <w:rPr>
                <w:sz w:val="18"/>
                <w:szCs w:val="18"/>
              </w:rPr>
              <w:t>10</w:t>
            </w:r>
          </w:p>
        </w:tc>
      </w:tr>
      <w:tr w:rsidR="00F63DB9" w14:paraId="6ECA4044" w14:textId="77777777">
        <w:tblPrEx>
          <w:tblCellMar>
            <w:top w:w="0" w:type="dxa"/>
            <w:bottom w:w="0" w:type="dxa"/>
          </w:tblCellMar>
        </w:tblPrEx>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070B0542" w14:textId="77777777" w:rsidR="00F63DB9" w:rsidRDefault="00000000">
            <w:r>
              <w:rPr>
                <w:b/>
                <w:bCs/>
                <w:color w:val="0A1628"/>
                <w:sz w:val="18"/>
                <w:szCs w:val="18"/>
              </w:rPr>
              <w:t>BENJI</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4CD571BE" w14:textId="77777777" w:rsidR="00F63DB9" w:rsidRDefault="00000000">
            <w:r>
              <w:rPr>
                <w:color w:val="64748B"/>
                <w:sz w:val="18"/>
                <w:szCs w:val="18"/>
              </w:rPr>
              <w:t>Franklin Templeton</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33796BC7" w14:textId="77777777" w:rsidR="00F63DB9" w:rsidRDefault="00000000">
            <w:r>
              <w:rPr>
                <w:color w:val="64748B"/>
                <w:sz w:val="18"/>
                <w:szCs w:val="18"/>
              </w:rPr>
              <w:t>Treasury</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54287E65" w14:textId="77777777" w:rsidR="00F63DB9" w:rsidRDefault="00000000">
            <w:pPr>
              <w:jc w:val="center"/>
            </w:pPr>
            <w:r>
              <w:rPr>
                <w:b/>
                <w:bCs/>
                <w:color w:val="D97706"/>
                <w:sz w:val="18"/>
                <w:szCs w:val="18"/>
              </w:rPr>
              <w:t>71</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3085BF03" w14:textId="77777777" w:rsidR="00F63DB9" w:rsidRDefault="00000000">
            <w:pPr>
              <w:jc w:val="center"/>
            </w:pPr>
            <w:r>
              <w:rPr>
                <w:b/>
                <w:bCs/>
                <w:color w:val="D97706"/>
                <w:sz w:val="18"/>
                <w:szCs w:val="18"/>
              </w:rPr>
              <w:t>LL-2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15FD9329" w14:textId="77777777" w:rsidR="00F63DB9" w:rsidRDefault="00000000">
            <w:pPr>
              <w:jc w:val="center"/>
            </w:pPr>
            <w:r>
              <w:rPr>
                <w:sz w:val="18"/>
                <w:szCs w:val="18"/>
              </w:rPr>
              <w:t>22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3C0340CB" w14:textId="77777777" w:rsidR="00F63DB9" w:rsidRDefault="00000000">
            <w:pPr>
              <w:jc w:val="center"/>
            </w:pPr>
            <w:r>
              <w:rPr>
                <w:sz w:val="18"/>
                <w:szCs w:val="18"/>
              </w:rPr>
              <w:t>10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3D98EB9" w14:textId="77777777" w:rsidR="00F63DB9" w:rsidRDefault="00000000">
            <w:pPr>
              <w:jc w:val="center"/>
            </w:pPr>
            <w:r>
              <w:rPr>
                <w:sz w:val="18"/>
                <w:szCs w:val="18"/>
              </w:rPr>
              <w:t>12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C454D63" w14:textId="77777777" w:rsidR="00F63DB9" w:rsidRDefault="00000000">
            <w:pPr>
              <w:jc w:val="center"/>
            </w:pPr>
            <w:r>
              <w:rPr>
                <w:sz w:val="18"/>
                <w:szCs w:val="18"/>
              </w:rPr>
              <w:t>12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79B6A44E" w14:textId="77777777" w:rsidR="00F63DB9" w:rsidRDefault="00000000">
            <w:pPr>
              <w:jc w:val="center"/>
            </w:pPr>
            <w:r>
              <w:rPr>
                <w:sz w:val="18"/>
                <w:szCs w:val="18"/>
              </w:rPr>
              <w:t>15</w:t>
            </w:r>
          </w:p>
        </w:tc>
      </w:tr>
      <w:tr w:rsidR="00F63DB9" w14:paraId="6084E20A" w14:textId="77777777">
        <w:tblPrEx>
          <w:tblCellMar>
            <w:top w:w="0" w:type="dxa"/>
            <w:bottom w:w="0" w:type="dxa"/>
          </w:tblCellMar>
        </w:tblPrEx>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0105B53" w14:textId="77777777" w:rsidR="00F63DB9" w:rsidRDefault="00000000">
            <w:r>
              <w:rPr>
                <w:b/>
                <w:bCs/>
                <w:color w:val="0A1628"/>
                <w:sz w:val="18"/>
                <w:szCs w:val="18"/>
              </w:rPr>
              <w:t>BUIDL</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E8C6B45" w14:textId="77777777" w:rsidR="00F63DB9" w:rsidRDefault="00000000">
            <w:r>
              <w:rPr>
                <w:color w:val="64748B"/>
                <w:sz w:val="18"/>
                <w:szCs w:val="18"/>
              </w:rPr>
              <w:t>BlackRock/Securitize</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1BFC3A64" w14:textId="77777777" w:rsidR="00F63DB9" w:rsidRDefault="00000000">
            <w:r>
              <w:rPr>
                <w:color w:val="64748B"/>
                <w:sz w:val="18"/>
                <w:szCs w:val="18"/>
              </w:rPr>
              <w:t>Treasury</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3658DFC7" w14:textId="77777777" w:rsidR="00F63DB9" w:rsidRDefault="00000000">
            <w:pPr>
              <w:jc w:val="center"/>
            </w:pPr>
            <w:r>
              <w:rPr>
                <w:b/>
                <w:bCs/>
                <w:color w:val="D97706"/>
                <w:sz w:val="18"/>
                <w:szCs w:val="18"/>
              </w:rPr>
              <w:t>54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0A8D99C8" w14:textId="77777777" w:rsidR="00F63DB9" w:rsidRDefault="00000000">
            <w:pPr>
              <w:jc w:val="center"/>
            </w:pPr>
            <w:r>
              <w:rPr>
                <w:b/>
                <w:bCs/>
                <w:color w:val="D97706"/>
                <w:sz w:val="18"/>
                <w:szCs w:val="18"/>
              </w:rPr>
              <w:t>LL-3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755141E1" w14:textId="77777777" w:rsidR="00F63DB9" w:rsidRDefault="00000000">
            <w:pPr>
              <w:jc w:val="center"/>
            </w:pPr>
            <w:r>
              <w:rPr>
                <w:sz w:val="18"/>
                <w:szCs w:val="18"/>
              </w:rPr>
              <w:t>15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495945BB" w14:textId="77777777" w:rsidR="00F63DB9" w:rsidRDefault="00000000">
            <w:pPr>
              <w:jc w:val="center"/>
            </w:pPr>
            <w:r>
              <w:rPr>
                <w:sz w:val="18"/>
                <w:szCs w:val="18"/>
              </w:rPr>
              <w:t>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00D4ED7B" w14:textId="77777777" w:rsidR="00F63DB9" w:rsidRDefault="00000000">
            <w:pPr>
              <w:jc w:val="center"/>
            </w:pPr>
            <w:r>
              <w:rPr>
                <w:sz w:val="18"/>
                <w:szCs w:val="18"/>
              </w:rPr>
              <w:t>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03A7334C" w14:textId="77777777" w:rsidR="00F63DB9" w:rsidRDefault="00000000">
            <w:pPr>
              <w:jc w:val="center"/>
            </w:pPr>
            <w:r>
              <w:rPr>
                <w:sz w:val="18"/>
                <w:szCs w:val="18"/>
              </w:rPr>
              <w:t>12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40679326" w14:textId="77777777" w:rsidR="00F63DB9" w:rsidRDefault="00000000">
            <w:pPr>
              <w:jc w:val="center"/>
            </w:pPr>
            <w:r>
              <w:rPr>
                <w:sz w:val="18"/>
                <w:szCs w:val="18"/>
              </w:rPr>
              <w:t>15</w:t>
            </w:r>
          </w:p>
        </w:tc>
      </w:tr>
      <w:tr w:rsidR="00F63DB9" w14:paraId="612D2B55" w14:textId="77777777">
        <w:tblPrEx>
          <w:tblCellMar>
            <w:top w:w="0" w:type="dxa"/>
            <w:bottom w:w="0" w:type="dxa"/>
          </w:tblCellMar>
        </w:tblPrEx>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4E0944A" w14:textId="77777777" w:rsidR="00F63DB9" w:rsidRDefault="00000000">
            <w:r>
              <w:rPr>
                <w:b/>
                <w:bCs/>
                <w:color w:val="0A1628"/>
                <w:sz w:val="18"/>
                <w:szCs w:val="18"/>
              </w:rPr>
              <w:t>mF-ONE</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16A5C1FD" w14:textId="77777777" w:rsidR="00F63DB9" w:rsidRDefault="00000000">
            <w:proofErr w:type="spellStart"/>
            <w:r>
              <w:rPr>
                <w:color w:val="64748B"/>
                <w:sz w:val="18"/>
                <w:szCs w:val="18"/>
              </w:rPr>
              <w:t>Fasanara</w:t>
            </w:r>
            <w:proofErr w:type="spellEnd"/>
            <w:r>
              <w:rPr>
                <w:color w:val="64748B"/>
                <w:sz w:val="18"/>
                <w:szCs w:val="18"/>
              </w:rPr>
              <w:t xml:space="preserve"> Capital</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700FB7FC" w14:textId="77777777" w:rsidR="00F63DB9" w:rsidRDefault="00000000">
            <w:r>
              <w:rPr>
                <w:color w:val="64748B"/>
                <w:sz w:val="18"/>
                <w:szCs w:val="18"/>
              </w:rPr>
              <w:t>Credit</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6123DC7" w14:textId="77777777" w:rsidR="00F63DB9" w:rsidRDefault="00000000">
            <w:pPr>
              <w:jc w:val="center"/>
            </w:pPr>
            <w:r>
              <w:rPr>
                <w:b/>
                <w:bCs/>
                <w:color w:val="DC2626"/>
                <w:sz w:val="18"/>
                <w:szCs w:val="18"/>
              </w:rPr>
              <w:t>38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4D8BF41" w14:textId="77777777" w:rsidR="00F63DB9" w:rsidRDefault="00000000">
            <w:pPr>
              <w:jc w:val="center"/>
            </w:pPr>
            <w:r>
              <w:rPr>
                <w:b/>
                <w:bCs/>
                <w:color w:val="DC2626"/>
                <w:sz w:val="18"/>
                <w:szCs w:val="18"/>
              </w:rPr>
              <w:t>LL-4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A2DF0CA" w14:textId="77777777" w:rsidR="00F63DB9" w:rsidRDefault="00000000">
            <w:pPr>
              <w:jc w:val="center"/>
            </w:pPr>
            <w:r>
              <w:rPr>
                <w:sz w:val="18"/>
                <w:szCs w:val="18"/>
              </w:rPr>
              <w:t>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3F7B367F" w14:textId="77777777" w:rsidR="00F63DB9" w:rsidRDefault="00000000">
            <w:pPr>
              <w:jc w:val="center"/>
            </w:pPr>
            <w:r>
              <w:rPr>
                <w:sz w:val="18"/>
                <w:szCs w:val="18"/>
              </w:rPr>
              <w:t>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74E67A0E" w14:textId="77777777" w:rsidR="00F63DB9" w:rsidRDefault="00000000">
            <w:pPr>
              <w:jc w:val="center"/>
            </w:pPr>
            <w:r>
              <w:rPr>
                <w:sz w:val="18"/>
                <w:szCs w:val="18"/>
              </w:rPr>
              <w:t>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48E555B5" w14:textId="77777777" w:rsidR="00F63DB9" w:rsidRDefault="00000000">
            <w:pPr>
              <w:jc w:val="center"/>
            </w:pPr>
            <w:r>
              <w:rPr>
                <w:sz w:val="18"/>
                <w:szCs w:val="18"/>
              </w:rPr>
              <w:t>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115ECE1" w14:textId="77777777" w:rsidR="00F63DB9" w:rsidRDefault="00000000">
            <w:pPr>
              <w:jc w:val="center"/>
            </w:pPr>
            <w:r>
              <w:rPr>
                <w:sz w:val="18"/>
                <w:szCs w:val="18"/>
              </w:rPr>
              <w:t>12</w:t>
            </w:r>
          </w:p>
        </w:tc>
      </w:tr>
      <w:tr w:rsidR="00F63DB9" w14:paraId="7F5F08AB" w14:textId="77777777">
        <w:tblPrEx>
          <w:tblCellMar>
            <w:top w:w="0" w:type="dxa"/>
            <w:bottom w:w="0" w:type="dxa"/>
          </w:tblCellMar>
        </w:tblPrEx>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1CE4538B" w14:textId="77777777" w:rsidR="00F63DB9" w:rsidRDefault="00000000">
            <w:r>
              <w:rPr>
                <w:b/>
                <w:bCs/>
                <w:color w:val="0A1628"/>
                <w:sz w:val="18"/>
                <w:szCs w:val="18"/>
              </w:rPr>
              <w:t>CFG-DROP</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7E65B20A" w14:textId="77777777" w:rsidR="00F63DB9" w:rsidRDefault="00000000">
            <w:r>
              <w:rPr>
                <w:color w:val="64748B"/>
                <w:sz w:val="18"/>
                <w:szCs w:val="18"/>
              </w:rPr>
              <w:t>Centrifuge</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1E6C32D4" w14:textId="77777777" w:rsidR="00F63DB9" w:rsidRDefault="00000000">
            <w:r>
              <w:rPr>
                <w:color w:val="64748B"/>
                <w:sz w:val="18"/>
                <w:szCs w:val="18"/>
              </w:rPr>
              <w:t>Credit</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37E6B8F8" w14:textId="77777777" w:rsidR="00F63DB9" w:rsidRDefault="00000000">
            <w:pPr>
              <w:jc w:val="center"/>
            </w:pPr>
            <w:r>
              <w:rPr>
                <w:b/>
                <w:bCs/>
                <w:color w:val="DC2626"/>
                <w:sz w:val="18"/>
                <w:szCs w:val="18"/>
              </w:rPr>
              <w:t>28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952E6A6" w14:textId="77777777" w:rsidR="00F63DB9" w:rsidRDefault="00000000">
            <w:pPr>
              <w:jc w:val="center"/>
            </w:pPr>
            <w:r>
              <w:rPr>
                <w:b/>
                <w:bCs/>
                <w:color w:val="DC2626"/>
                <w:sz w:val="18"/>
                <w:szCs w:val="18"/>
              </w:rPr>
              <w:t>LL-4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C673F00" w14:textId="77777777" w:rsidR="00F63DB9" w:rsidRDefault="00000000">
            <w:pPr>
              <w:jc w:val="center"/>
            </w:pPr>
            <w:r>
              <w:rPr>
                <w:sz w:val="18"/>
                <w:szCs w:val="18"/>
              </w:rPr>
              <w:t>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4FE8D4E4" w14:textId="77777777" w:rsidR="00F63DB9" w:rsidRDefault="00000000">
            <w:pPr>
              <w:jc w:val="center"/>
            </w:pPr>
            <w:r>
              <w:rPr>
                <w:sz w:val="18"/>
                <w:szCs w:val="18"/>
              </w:rPr>
              <w:t>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323C0C44" w14:textId="77777777" w:rsidR="00F63DB9" w:rsidRDefault="00000000">
            <w:pPr>
              <w:jc w:val="center"/>
            </w:pPr>
            <w:r>
              <w:rPr>
                <w:sz w:val="18"/>
                <w:szCs w:val="18"/>
              </w:rPr>
              <w:t>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44AF5396" w14:textId="77777777" w:rsidR="00F63DB9" w:rsidRDefault="00000000">
            <w:pPr>
              <w:jc w:val="center"/>
            </w:pPr>
            <w:r>
              <w:rPr>
                <w:sz w:val="18"/>
                <w:szCs w:val="18"/>
              </w:rPr>
              <w:t>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152674E4" w14:textId="77777777" w:rsidR="00F63DB9" w:rsidRDefault="00000000">
            <w:pPr>
              <w:jc w:val="center"/>
            </w:pPr>
            <w:r>
              <w:rPr>
                <w:sz w:val="18"/>
                <w:szCs w:val="18"/>
              </w:rPr>
              <w:t>10</w:t>
            </w:r>
          </w:p>
        </w:tc>
      </w:tr>
      <w:tr w:rsidR="00F63DB9" w14:paraId="21CFD8A6" w14:textId="77777777">
        <w:tblPrEx>
          <w:tblCellMar>
            <w:top w:w="0" w:type="dxa"/>
            <w:bottom w:w="0" w:type="dxa"/>
          </w:tblCellMar>
        </w:tblPrEx>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7BDC9103" w14:textId="77777777" w:rsidR="00F63DB9" w:rsidRDefault="00000000">
            <w:r>
              <w:rPr>
                <w:b/>
                <w:bCs/>
                <w:color w:val="0A1628"/>
                <w:sz w:val="18"/>
                <w:szCs w:val="18"/>
              </w:rPr>
              <w:t>FIDU</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57B41AE5" w14:textId="77777777" w:rsidR="00F63DB9" w:rsidRDefault="00000000">
            <w:r>
              <w:rPr>
                <w:color w:val="64748B"/>
                <w:sz w:val="18"/>
                <w:szCs w:val="18"/>
              </w:rPr>
              <w:t>Goldfinch</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3378B84E" w14:textId="77777777" w:rsidR="00F63DB9" w:rsidRDefault="00000000">
            <w:r>
              <w:rPr>
                <w:color w:val="64748B"/>
                <w:sz w:val="18"/>
                <w:szCs w:val="18"/>
              </w:rPr>
              <w:t>Credit</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39435E81" w14:textId="77777777" w:rsidR="00F63DB9" w:rsidRDefault="00000000">
            <w:pPr>
              <w:jc w:val="center"/>
            </w:pPr>
            <w:r>
              <w:rPr>
                <w:b/>
                <w:bCs/>
                <w:color w:val="DC2626"/>
                <w:sz w:val="18"/>
                <w:szCs w:val="18"/>
              </w:rPr>
              <w:t>26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88D505B" w14:textId="77777777" w:rsidR="00F63DB9" w:rsidRDefault="00000000">
            <w:pPr>
              <w:jc w:val="center"/>
            </w:pPr>
            <w:r>
              <w:rPr>
                <w:b/>
                <w:bCs/>
                <w:color w:val="DC2626"/>
                <w:sz w:val="18"/>
                <w:szCs w:val="18"/>
              </w:rPr>
              <w:t>LL-4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10509691" w14:textId="77777777" w:rsidR="00F63DB9" w:rsidRDefault="00000000">
            <w:pPr>
              <w:jc w:val="center"/>
            </w:pPr>
            <w:r>
              <w:rPr>
                <w:sz w:val="18"/>
                <w:szCs w:val="18"/>
              </w:rPr>
              <w:t>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7EACF48A" w14:textId="77777777" w:rsidR="00F63DB9" w:rsidRDefault="00000000">
            <w:pPr>
              <w:jc w:val="center"/>
            </w:pPr>
            <w:r>
              <w:rPr>
                <w:sz w:val="18"/>
                <w:szCs w:val="18"/>
              </w:rPr>
              <w:t>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4C2E575B" w14:textId="77777777" w:rsidR="00F63DB9" w:rsidRDefault="00000000">
            <w:pPr>
              <w:jc w:val="center"/>
            </w:pPr>
            <w:r>
              <w:rPr>
                <w:sz w:val="18"/>
                <w:szCs w:val="18"/>
              </w:rPr>
              <w:t>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8DA1667" w14:textId="77777777" w:rsidR="00F63DB9" w:rsidRDefault="00000000">
            <w:pPr>
              <w:jc w:val="center"/>
            </w:pPr>
            <w:r>
              <w:rPr>
                <w:sz w:val="18"/>
                <w:szCs w:val="18"/>
              </w:rPr>
              <w:t>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519A26D0" w14:textId="77777777" w:rsidR="00F63DB9" w:rsidRDefault="00000000">
            <w:pPr>
              <w:jc w:val="center"/>
            </w:pPr>
            <w:r>
              <w:rPr>
                <w:sz w:val="18"/>
                <w:szCs w:val="18"/>
              </w:rPr>
              <w:t>10</w:t>
            </w:r>
          </w:p>
        </w:tc>
      </w:tr>
      <w:tr w:rsidR="00F63DB9" w14:paraId="215FFD99" w14:textId="77777777">
        <w:tblPrEx>
          <w:tblCellMar>
            <w:top w:w="0" w:type="dxa"/>
            <w:bottom w:w="0" w:type="dxa"/>
          </w:tblCellMar>
        </w:tblPrEx>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3DB71F0A" w14:textId="77777777" w:rsidR="00F63DB9" w:rsidRDefault="00000000">
            <w:r>
              <w:rPr>
                <w:b/>
                <w:bCs/>
                <w:color w:val="0A1628"/>
                <w:sz w:val="18"/>
                <w:szCs w:val="18"/>
              </w:rPr>
              <w:t>Maple-PC</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352E8818" w14:textId="77777777" w:rsidR="00F63DB9" w:rsidRDefault="00000000">
            <w:r>
              <w:rPr>
                <w:color w:val="64748B"/>
                <w:sz w:val="18"/>
                <w:szCs w:val="18"/>
              </w:rPr>
              <w:t>Maple Finance</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5527C2CE" w14:textId="77777777" w:rsidR="00F63DB9" w:rsidRDefault="00000000">
            <w:r>
              <w:rPr>
                <w:color w:val="64748B"/>
                <w:sz w:val="18"/>
                <w:szCs w:val="18"/>
              </w:rPr>
              <w:t>Credit</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71693A9D" w14:textId="77777777" w:rsidR="00F63DB9" w:rsidRDefault="00000000">
            <w:pPr>
              <w:jc w:val="center"/>
            </w:pPr>
            <w:r>
              <w:rPr>
                <w:b/>
                <w:bCs/>
                <w:color w:val="DC2626"/>
                <w:sz w:val="18"/>
                <w:szCs w:val="18"/>
              </w:rPr>
              <w:t>23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CFA9ACF" w14:textId="77777777" w:rsidR="00F63DB9" w:rsidRDefault="00000000">
            <w:pPr>
              <w:jc w:val="center"/>
            </w:pPr>
            <w:r>
              <w:rPr>
                <w:b/>
                <w:bCs/>
                <w:color w:val="DC2626"/>
                <w:sz w:val="18"/>
                <w:szCs w:val="18"/>
              </w:rPr>
              <w:t>LL-4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511E81D" w14:textId="77777777" w:rsidR="00F63DB9" w:rsidRDefault="00000000">
            <w:pPr>
              <w:jc w:val="center"/>
            </w:pPr>
            <w:r>
              <w:rPr>
                <w:sz w:val="18"/>
                <w:szCs w:val="18"/>
              </w:rPr>
              <w:t>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7B02968B" w14:textId="77777777" w:rsidR="00F63DB9" w:rsidRDefault="00000000">
            <w:pPr>
              <w:jc w:val="center"/>
            </w:pPr>
            <w:r>
              <w:rPr>
                <w:sz w:val="18"/>
                <w:szCs w:val="18"/>
              </w:rPr>
              <w:t>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D5655EC" w14:textId="77777777" w:rsidR="00F63DB9" w:rsidRDefault="00000000">
            <w:pPr>
              <w:jc w:val="center"/>
            </w:pPr>
            <w:r>
              <w:rPr>
                <w:sz w:val="18"/>
                <w:szCs w:val="18"/>
              </w:rPr>
              <w:t>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42B0949" w14:textId="77777777" w:rsidR="00F63DB9" w:rsidRDefault="00000000">
            <w:pPr>
              <w:jc w:val="center"/>
            </w:pPr>
            <w:r>
              <w:rPr>
                <w:sz w:val="18"/>
                <w:szCs w:val="18"/>
              </w:rPr>
              <w:t>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2102B74" w14:textId="77777777" w:rsidR="00F63DB9" w:rsidRDefault="00000000">
            <w:pPr>
              <w:jc w:val="center"/>
            </w:pPr>
            <w:r>
              <w:rPr>
                <w:sz w:val="18"/>
                <w:szCs w:val="18"/>
              </w:rPr>
              <w:t>12</w:t>
            </w:r>
          </w:p>
        </w:tc>
      </w:tr>
      <w:tr w:rsidR="00F63DB9" w14:paraId="66A59100" w14:textId="77777777">
        <w:tblPrEx>
          <w:tblCellMar>
            <w:top w:w="0" w:type="dxa"/>
            <w:bottom w:w="0" w:type="dxa"/>
          </w:tblCellMar>
        </w:tblPrEx>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7A90A51B" w14:textId="77777777" w:rsidR="00F63DB9" w:rsidRDefault="00000000">
            <w:proofErr w:type="spellStart"/>
            <w:r>
              <w:rPr>
                <w:b/>
                <w:bCs/>
                <w:color w:val="0A1628"/>
                <w:sz w:val="18"/>
                <w:szCs w:val="18"/>
              </w:rPr>
              <w:t>RealT</w:t>
            </w:r>
            <w:proofErr w:type="spellEnd"/>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1A1AE470" w14:textId="77777777" w:rsidR="00F63DB9" w:rsidRDefault="00000000">
            <w:proofErr w:type="spellStart"/>
            <w:r>
              <w:rPr>
                <w:color w:val="64748B"/>
                <w:sz w:val="18"/>
                <w:szCs w:val="18"/>
              </w:rPr>
              <w:t>RealT</w:t>
            </w:r>
            <w:proofErr w:type="spellEnd"/>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14BA5842" w14:textId="77777777" w:rsidR="00F63DB9" w:rsidRDefault="00000000">
            <w:r>
              <w:rPr>
                <w:color w:val="64748B"/>
                <w:sz w:val="18"/>
                <w:szCs w:val="18"/>
              </w:rPr>
              <w:t>Real Estate</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4BD89EF6" w14:textId="77777777" w:rsidR="00F63DB9" w:rsidRDefault="00000000">
            <w:pPr>
              <w:jc w:val="center"/>
            </w:pPr>
            <w:r>
              <w:rPr>
                <w:b/>
                <w:bCs/>
                <w:color w:val="DC2626"/>
                <w:sz w:val="18"/>
                <w:szCs w:val="18"/>
              </w:rPr>
              <w:t>25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50572C0B" w14:textId="77777777" w:rsidR="00F63DB9" w:rsidRDefault="00000000">
            <w:pPr>
              <w:jc w:val="center"/>
            </w:pPr>
            <w:r>
              <w:rPr>
                <w:b/>
                <w:bCs/>
                <w:color w:val="DC2626"/>
                <w:sz w:val="18"/>
                <w:szCs w:val="18"/>
              </w:rPr>
              <w:t>LL-4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3B417252" w14:textId="77777777" w:rsidR="00F63DB9" w:rsidRDefault="00000000">
            <w:pPr>
              <w:jc w:val="center"/>
            </w:pPr>
            <w:r>
              <w:rPr>
                <w:sz w:val="18"/>
                <w:szCs w:val="18"/>
              </w:rPr>
              <w:t>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58CB82D6" w14:textId="77777777" w:rsidR="00F63DB9" w:rsidRDefault="00000000">
            <w:pPr>
              <w:jc w:val="center"/>
            </w:pPr>
            <w:r>
              <w:rPr>
                <w:sz w:val="18"/>
                <w:szCs w:val="18"/>
              </w:rPr>
              <w:t>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12673DC9" w14:textId="77777777" w:rsidR="00F63DB9" w:rsidRDefault="00000000">
            <w:pPr>
              <w:jc w:val="center"/>
            </w:pPr>
            <w:r>
              <w:rPr>
                <w:sz w:val="18"/>
                <w:szCs w:val="18"/>
              </w:rPr>
              <w:t>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1DBA0D08" w14:textId="77777777" w:rsidR="00F63DB9" w:rsidRDefault="00000000">
            <w:pPr>
              <w:jc w:val="center"/>
            </w:pPr>
            <w:r>
              <w:rPr>
                <w:sz w:val="18"/>
                <w:szCs w:val="18"/>
              </w:rPr>
              <w:t>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0592AA8D" w14:textId="77777777" w:rsidR="00F63DB9" w:rsidRDefault="00000000">
            <w:pPr>
              <w:jc w:val="center"/>
            </w:pPr>
            <w:r>
              <w:rPr>
                <w:sz w:val="18"/>
                <w:szCs w:val="18"/>
              </w:rPr>
              <w:t>8</w:t>
            </w:r>
          </w:p>
        </w:tc>
      </w:tr>
      <w:tr w:rsidR="00F63DB9" w14:paraId="673975E8" w14:textId="77777777">
        <w:tblPrEx>
          <w:tblCellMar>
            <w:top w:w="0" w:type="dxa"/>
            <w:bottom w:w="0" w:type="dxa"/>
          </w:tblCellMar>
        </w:tblPrEx>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78B8AC86" w14:textId="77777777" w:rsidR="00F63DB9" w:rsidRDefault="00000000">
            <w:r>
              <w:rPr>
                <w:b/>
                <w:bCs/>
                <w:color w:val="0A1628"/>
                <w:sz w:val="18"/>
                <w:szCs w:val="18"/>
              </w:rPr>
              <w:t>Lofty</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5FBF96BA" w14:textId="77777777" w:rsidR="00F63DB9" w:rsidRDefault="00000000">
            <w:r>
              <w:rPr>
                <w:color w:val="64748B"/>
                <w:sz w:val="18"/>
                <w:szCs w:val="18"/>
              </w:rPr>
              <w:t>Lofty.ai</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540635C3" w14:textId="77777777" w:rsidR="00F63DB9" w:rsidRDefault="00000000">
            <w:r>
              <w:rPr>
                <w:color w:val="64748B"/>
                <w:sz w:val="18"/>
                <w:szCs w:val="18"/>
              </w:rPr>
              <w:t>Real Estate</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0D494BAA" w14:textId="77777777" w:rsidR="00F63DB9" w:rsidRDefault="00000000">
            <w:pPr>
              <w:jc w:val="center"/>
            </w:pPr>
            <w:r>
              <w:rPr>
                <w:b/>
                <w:bCs/>
                <w:color w:val="DC2626"/>
                <w:sz w:val="18"/>
                <w:szCs w:val="18"/>
              </w:rPr>
              <w:t>25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4FE879B8" w14:textId="77777777" w:rsidR="00F63DB9" w:rsidRDefault="00000000">
            <w:pPr>
              <w:jc w:val="center"/>
            </w:pPr>
            <w:r>
              <w:rPr>
                <w:b/>
                <w:bCs/>
                <w:color w:val="DC2626"/>
                <w:sz w:val="18"/>
                <w:szCs w:val="18"/>
              </w:rPr>
              <w:t>LL-4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4927431" w14:textId="77777777" w:rsidR="00F63DB9" w:rsidRDefault="00000000">
            <w:pPr>
              <w:jc w:val="center"/>
            </w:pPr>
            <w:r>
              <w:rPr>
                <w:sz w:val="18"/>
                <w:szCs w:val="18"/>
              </w:rPr>
              <w:t>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2180484E" w14:textId="77777777" w:rsidR="00F63DB9" w:rsidRDefault="00000000">
            <w:pPr>
              <w:jc w:val="center"/>
            </w:pPr>
            <w:r>
              <w:rPr>
                <w:sz w:val="18"/>
                <w:szCs w:val="18"/>
              </w:rPr>
              <w:t>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51629D45" w14:textId="77777777" w:rsidR="00F63DB9" w:rsidRDefault="00000000">
            <w:pPr>
              <w:jc w:val="center"/>
            </w:pPr>
            <w:r>
              <w:rPr>
                <w:sz w:val="18"/>
                <w:szCs w:val="18"/>
              </w:rPr>
              <w:t>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4F383E1A" w14:textId="77777777" w:rsidR="00F63DB9" w:rsidRDefault="00000000">
            <w:pPr>
              <w:jc w:val="center"/>
            </w:pPr>
            <w:r>
              <w:rPr>
                <w:sz w:val="18"/>
                <w:szCs w:val="18"/>
              </w:rPr>
              <w:t>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3BB343B6" w14:textId="77777777" w:rsidR="00F63DB9" w:rsidRDefault="00000000">
            <w:pPr>
              <w:jc w:val="center"/>
            </w:pPr>
            <w:r>
              <w:rPr>
                <w:sz w:val="18"/>
                <w:szCs w:val="18"/>
              </w:rPr>
              <w:t>7</w:t>
            </w:r>
          </w:p>
        </w:tc>
      </w:tr>
    </w:tbl>
    <w:p w14:paraId="226D287D" w14:textId="77777777" w:rsidR="00F63DB9" w:rsidRDefault="00000000">
      <w:pPr>
        <w:spacing w:after="120" w:line="276" w:lineRule="auto"/>
      </w:pPr>
      <w:r>
        <w:rPr>
          <w:sz w:val="24"/>
          <w:szCs w:val="24"/>
        </w:rPr>
        <w:t xml:space="preserve"> </w:t>
      </w:r>
    </w:p>
    <w:p w14:paraId="50B709C4" w14:textId="77777777" w:rsidR="00F63DB9" w:rsidRDefault="00000000">
      <w:pPr>
        <w:spacing w:before="60" w:after="120" w:line="320" w:lineRule="auto"/>
      </w:pPr>
      <w:r>
        <w:rPr>
          <w:i/>
          <w:iCs/>
        </w:rPr>
        <w:t>RV = Redemption Velocity, SMD = Secondary Market Depth, TR = Transfer Restrictions, NAV = NAV Transparency, PM = Platform Maturity. Scores out of 25/25/20/15/15 respectively.</w:t>
      </w:r>
    </w:p>
    <w:p w14:paraId="18FE938D" w14:textId="77777777" w:rsidR="00F63DB9" w:rsidRDefault="00000000">
      <w:pPr>
        <w:spacing w:after="80" w:line="276" w:lineRule="auto"/>
      </w:pPr>
      <w:r>
        <w:rPr>
          <w:sz w:val="24"/>
          <w:szCs w:val="24"/>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63DB9" w14:paraId="3AD95922" w14:textId="77777777">
        <w:tblPrEx>
          <w:tblCellMar>
            <w:top w:w="0" w:type="dxa"/>
            <w:bottom w:w="0" w:type="dxa"/>
          </w:tblCellMar>
        </w:tblPrEx>
        <w:tc>
          <w:tcPr>
            <w:tcW w:w="9360" w:type="dxa"/>
            <w:tcBorders>
              <w:top w:val="single" w:sz="1" w:space="0" w:color="2563EB"/>
              <w:left w:val="single" w:sz="12" w:space="0" w:color="2563EB"/>
              <w:bottom w:val="single" w:sz="1" w:space="0" w:color="2563EB"/>
            </w:tcBorders>
            <w:shd w:val="clear" w:color="auto" w:fill="EFF6FF"/>
            <w:tcMar>
              <w:top w:w="160" w:type="dxa"/>
              <w:left w:w="240" w:type="dxa"/>
              <w:bottom w:w="160" w:type="dxa"/>
              <w:right w:w="240" w:type="dxa"/>
            </w:tcMar>
          </w:tcPr>
          <w:p w14:paraId="796F388C" w14:textId="77777777" w:rsidR="00F63DB9" w:rsidRDefault="00000000">
            <w:pPr>
              <w:spacing w:line="300" w:lineRule="auto"/>
            </w:pPr>
            <w:r>
              <w:rPr>
                <w:color w:val="0A1628"/>
              </w:rPr>
              <w:t xml:space="preserve">Notable finding: The two largest assets by TVL in this cohort — BUIDL ($2.86B, BlackRock) and OUSG ($774M, </w:t>
            </w:r>
            <w:proofErr w:type="gramStart"/>
            <w:r>
              <w:rPr>
                <w:color w:val="0A1628"/>
              </w:rPr>
              <w:t>Ondo) —</w:t>
            </w:r>
            <w:proofErr w:type="gramEnd"/>
            <w:r>
              <w:rPr>
                <w:color w:val="0A1628"/>
              </w:rPr>
              <w:t xml:space="preserve"> score in the LL-3 and LL-2 ranges respectively, despite their institutional pedigree. This illustrates that institutional brand does not equate to liquidity. PAXG, a commodity token with $762M TVL and daily DEX liquidity, scores 98/100. Institutional provenance and secondary market liquidity are orthogonal dimensions.</w:t>
            </w:r>
          </w:p>
        </w:tc>
      </w:tr>
    </w:tbl>
    <w:p w14:paraId="3F3D3402" w14:textId="77777777" w:rsidR="00F63DB9" w:rsidRDefault="00000000">
      <w:r>
        <w:br w:type="page"/>
      </w:r>
    </w:p>
    <w:p w14:paraId="2A011595" w14:textId="77777777" w:rsidR="00F63DB9" w:rsidRDefault="00000000">
      <w:pPr>
        <w:pStyle w:val="Heading1"/>
      </w:pPr>
      <w:r>
        <w:lastRenderedPageBreak/>
        <w:t>Chapter 12: DeFi Protocol Integration Framework</w:t>
      </w:r>
    </w:p>
    <w:p w14:paraId="06A5BB57" w14:textId="77777777" w:rsidR="00F63DB9" w:rsidRDefault="00000000">
      <w:pPr>
        <w:pStyle w:val="Heading2"/>
        <w:pBdr>
          <w:bottom w:val="single" w:sz="4" w:space="4" w:color="CBD5E1"/>
        </w:pBdr>
      </w:pPr>
      <w:r>
        <w:t>12.1 The Collateral Risk Problem</w:t>
      </w:r>
    </w:p>
    <w:p w14:paraId="1F10B3A7" w14:textId="77777777" w:rsidR="00F63DB9" w:rsidRDefault="00000000">
      <w:pPr>
        <w:spacing w:before="60" w:after="120" w:line="320" w:lineRule="auto"/>
      </w:pPr>
      <w:r>
        <w:t xml:space="preserve">The integration of RWA assets as collateral in DeFi lending protocols represents one of the most significant — and </w:t>
      </w:r>
      <w:proofErr w:type="gramStart"/>
      <w:r>
        <w:t>most underappreciated —</w:t>
      </w:r>
      <w:proofErr w:type="gramEnd"/>
      <w:r>
        <w:t xml:space="preserve"> systemic risks in the current DeFi ecosystem. Protocols including Morpho, Euler, </w:t>
      </w:r>
      <w:proofErr w:type="spellStart"/>
      <w:r>
        <w:t>Aave</w:t>
      </w:r>
      <w:proofErr w:type="spellEnd"/>
      <w:r>
        <w:t xml:space="preserve">, Compound, and </w:t>
      </w:r>
      <w:proofErr w:type="gramStart"/>
      <w:r>
        <w:t>Spark are</w:t>
      </w:r>
      <w:proofErr w:type="gramEnd"/>
      <w:r>
        <w:t xml:space="preserve"> accepting tokenized RWAs as collateral for permissionless loans. The TVL of RWA-collateralized loans in DeFi has grown from essentially zero in 2022 to billions of dollars by Q1 2025.</w:t>
      </w:r>
    </w:p>
    <w:p w14:paraId="5EC8C63D" w14:textId="77777777" w:rsidR="00F63DB9" w:rsidRDefault="00000000">
      <w:pPr>
        <w:spacing w:before="60" w:after="120" w:line="320" w:lineRule="auto"/>
      </w:pPr>
      <w:r>
        <w:t xml:space="preserve">The problem is simple: if a major RWA collateral asset experiences a liquidity crisis — whether due to redemption suspension, NAV impairment, or secondary market failure — the DeFi protocols holding it as collateral may face cascading liquidation failures. Without a functioning secondary market at the time of crisis, automated liquidation bots cannot execute </w:t>
      </w:r>
      <w:proofErr w:type="gramStart"/>
      <w:r>
        <w:t>liquidations</w:t>
      </w:r>
      <w:proofErr w:type="gramEnd"/>
      <w:r>
        <w:t>, bad debt accumulates, and protocol insolvency becomes possible.</w:t>
      </w:r>
    </w:p>
    <w:p w14:paraId="5769F151" w14:textId="77777777" w:rsidR="00F63DB9" w:rsidRDefault="00000000">
      <w:pPr>
        <w:spacing w:before="60" w:after="120" w:line="320" w:lineRule="auto"/>
      </w:pPr>
      <w:r>
        <w:t>Every major DeFi protocol's risk team is currently assessing this risk independently, with different methodologies, different data sources, and different conclusions. The result is a fragmented and uncoordinated risk landscape that serves neither protocol users nor the RWA ecosystem.</w:t>
      </w:r>
    </w:p>
    <w:p w14:paraId="165BA47E" w14:textId="77777777" w:rsidR="00F63DB9" w:rsidRDefault="00000000">
      <w:pPr>
        <w:pStyle w:val="Heading2"/>
        <w:pBdr>
          <w:bottom w:val="single" w:sz="4" w:space="4" w:color="CBD5E1"/>
        </w:pBdr>
      </w:pPr>
      <w:r>
        <w:t>12.2 The RWALS Collateral Framework</w:t>
      </w:r>
    </w:p>
    <w:p w14:paraId="54C2371C" w14:textId="77777777" w:rsidR="00F63DB9" w:rsidRDefault="00000000">
      <w:pPr>
        <w:spacing w:before="60" w:after="120" w:line="320" w:lineRule="auto"/>
      </w:pPr>
      <w:r>
        <w:t>RWALS proposes a standardized framework for incorporating liquidity scores into DeFi collateral parameter calculations. This framework is offered as a starting point for industry discussion, not as a prescriptive standard.</w:t>
      </w:r>
    </w:p>
    <w:p w14:paraId="39C915FF" w14:textId="77777777" w:rsidR="00F63DB9" w:rsidRDefault="00000000">
      <w:pPr>
        <w:spacing w:after="80" w:line="276" w:lineRule="auto"/>
      </w:pPr>
      <w:r>
        <w:rPr>
          <w:sz w:val="24"/>
          <w:szCs w:val="24"/>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600"/>
        <w:gridCol w:w="1600"/>
        <w:gridCol w:w="2000"/>
        <w:gridCol w:w="2760"/>
      </w:tblGrid>
      <w:tr w:rsidR="00F63DB9" w14:paraId="5A3896A2" w14:textId="77777777">
        <w:tblPrEx>
          <w:tblCellMar>
            <w:top w:w="0" w:type="dxa"/>
            <w:bottom w:w="0" w:type="dxa"/>
          </w:tblCellMar>
        </w:tblPrEx>
        <w:trPr>
          <w:tblHeader/>
        </w:trPr>
        <w:tc>
          <w:tcPr>
            <w:tcW w:w="14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725DB5E5" w14:textId="77777777" w:rsidR="00F63DB9" w:rsidRDefault="00000000">
            <w:pPr>
              <w:jc w:val="center"/>
            </w:pPr>
            <w:r>
              <w:rPr>
                <w:b/>
                <w:bCs/>
                <w:color w:val="FFFFFF"/>
                <w:sz w:val="18"/>
                <w:szCs w:val="18"/>
              </w:rPr>
              <w:t>RWALS Score</w:t>
            </w:r>
          </w:p>
        </w:tc>
        <w:tc>
          <w:tcPr>
            <w:tcW w:w="16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1017FF5D" w14:textId="77777777" w:rsidR="00F63DB9" w:rsidRDefault="00000000">
            <w:pPr>
              <w:jc w:val="center"/>
            </w:pPr>
            <w:r>
              <w:rPr>
                <w:b/>
                <w:bCs/>
                <w:color w:val="FFFFFF"/>
                <w:sz w:val="18"/>
                <w:szCs w:val="18"/>
              </w:rPr>
              <w:t>Grade</w:t>
            </w:r>
          </w:p>
        </w:tc>
        <w:tc>
          <w:tcPr>
            <w:tcW w:w="16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03AC5F4A" w14:textId="77777777" w:rsidR="00F63DB9" w:rsidRDefault="00000000">
            <w:pPr>
              <w:jc w:val="center"/>
            </w:pPr>
            <w:r>
              <w:rPr>
                <w:b/>
                <w:bCs/>
                <w:color w:val="FFFFFF"/>
                <w:sz w:val="18"/>
                <w:szCs w:val="18"/>
              </w:rPr>
              <w:t>Max LTV</w:t>
            </w:r>
          </w:p>
        </w:tc>
        <w:tc>
          <w:tcPr>
            <w:tcW w:w="20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06D05ED2" w14:textId="77777777" w:rsidR="00F63DB9" w:rsidRDefault="00000000">
            <w:pPr>
              <w:jc w:val="center"/>
            </w:pPr>
            <w:r>
              <w:rPr>
                <w:b/>
                <w:bCs/>
                <w:color w:val="FFFFFF"/>
                <w:sz w:val="18"/>
                <w:szCs w:val="18"/>
              </w:rPr>
              <w:t>Liquidation Threshold</w:t>
            </w:r>
          </w:p>
        </w:tc>
        <w:tc>
          <w:tcPr>
            <w:tcW w:w="276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02D255F7" w14:textId="77777777" w:rsidR="00F63DB9" w:rsidRDefault="00000000">
            <w:pPr>
              <w:jc w:val="center"/>
            </w:pPr>
            <w:r>
              <w:rPr>
                <w:b/>
                <w:bCs/>
                <w:color w:val="FFFFFF"/>
                <w:sz w:val="18"/>
                <w:szCs w:val="18"/>
              </w:rPr>
              <w:t>Recommended Use</w:t>
            </w:r>
          </w:p>
        </w:tc>
      </w:tr>
      <w:tr w:rsidR="00F63DB9" w14:paraId="227A046B" w14:textId="77777777">
        <w:tblPrEx>
          <w:tblCellMar>
            <w:top w:w="0" w:type="dxa"/>
            <w:bottom w:w="0" w:type="dxa"/>
          </w:tblCellMar>
        </w:tblPrEx>
        <w:tc>
          <w:tcPr>
            <w:tcW w:w="14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47F79DA5" w14:textId="77777777" w:rsidR="00F63DB9" w:rsidRDefault="00000000">
            <w:r>
              <w:rPr>
                <w:b/>
                <w:bCs/>
                <w:sz w:val="18"/>
                <w:szCs w:val="18"/>
              </w:rPr>
              <w:t>80–100</w:t>
            </w:r>
          </w:p>
        </w:tc>
        <w:tc>
          <w:tcPr>
            <w:tcW w:w="16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16796CA" w14:textId="77777777" w:rsidR="00F63DB9" w:rsidRDefault="00000000">
            <w:r>
              <w:rPr>
                <w:b/>
                <w:bCs/>
                <w:sz w:val="18"/>
                <w:szCs w:val="18"/>
              </w:rPr>
              <w:t>LL-1</w:t>
            </w:r>
          </w:p>
        </w:tc>
        <w:tc>
          <w:tcPr>
            <w:tcW w:w="16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7E1080AC" w14:textId="77777777" w:rsidR="00F63DB9" w:rsidRDefault="00000000">
            <w:r>
              <w:rPr>
                <w:sz w:val="18"/>
                <w:szCs w:val="18"/>
              </w:rPr>
              <w:t>85–90%</w:t>
            </w:r>
          </w:p>
        </w:tc>
        <w:tc>
          <w:tcPr>
            <w:tcW w:w="20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5A2536A7" w14:textId="77777777" w:rsidR="00F63DB9" w:rsidRDefault="00000000">
            <w:r>
              <w:rPr>
                <w:sz w:val="18"/>
                <w:szCs w:val="18"/>
              </w:rPr>
              <w:t>92–95%</w:t>
            </w:r>
          </w:p>
        </w:tc>
        <w:tc>
          <w:tcPr>
            <w:tcW w:w="276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60AE86E6" w14:textId="77777777" w:rsidR="00F63DB9" w:rsidRDefault="00000000">
            <w:r>
              <w:rPr>
                <w:sz w:val="18"/>
                <w:szCs w:val="18"/>
              </w:rPr>
              <w:t>Standard collateral. No special restrictions.</w:t>
            </w:r>
          </w:p>
        </w:tc>
      </w:tr>
      <w:tr w:rsidR="00F63DB9" w14:paraId="0B2C1334" w14:textId="77777777">
        <w:tblPrEx>
          <w:tblCellMar>
            <w:top w:w="0" w:type="dxa"/>
            <w:bottom w:w="0" w:type="dxa"/>
          </w:tblCellMar>
        </w:tblPrEx>
        <w:tc>
          <w:tcPr>
            <w:tcW w:w="14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E082EB3" w14:textId="77777777" w:rsidR="00F63DB9" w:rsidRDefault="00000000">
            <w:r>
              <w:rPr>
                <w:b/>
                <w:bCs/>
                <w:sz w:val="18"/>
                <w:szCs w:val="18"/>
              </w:rPr>
              <w:t>60–79</w:t>
            </w:r>
          </w:p>
        </w:tc>
        <w:tc>
          <w:tcPr>
            <w:tcW w:w="16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5AF45AD9" w14:textId="77777777" w:rsidR="00F63DB9" w:rsidRDefault="00000000">
            <w:r>
              <w:rPr>
                <w:b/>
                <w:bCs/>
                <w:sz w:val="18"/>
                <w:szCs w:val="18"/>
              </w:rPr>
              <w:t>LL-2</w:t>
            </w:r>
          </w:p>
        </w:tc>
        <w:tc>
          <w:tcPr>
            <w:tcW w:w="16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B4E1E28" w14:textId="77777777" w:rsidR="00F63DB9" w:rsidRDefault="00000000">
            <w:r>
              <w:rPr>
                <w:sz w:val="18"/>
                <w:szCs w:val="18"/>
              </w:rPr>
              <w:t>70–80%</w:t>
            </w:r>
          </w:p>
        </w:tc>
        <w:tc>
          <w:tcPr>
            <w:tcW w:w="20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2EE7D0E1" w14:textId="77777777" w:rsidR="00F63DB9" w:rsidRDefault="00000000">
            <w:r>
              <w:rPr>
                <w:sz w:val="18"/>
                <w:szCs w:val="18"/>
              </w:rPr>
              <w:t>82–88%</w:t>
            </w:r>
          </w:p>
        </w:tc>
        <w:tc>
          <w:tcPr>
            <w:tcW w:w="27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E451465" w14:textId="77777777" w:rsidR="00F63DB9" w:rsidRDefault="00000000">
            <w:r>
              <w:rPr>
                <w:sz w:val="18"/>
                <w:szCs w:val="18"/>
              </w:rPr>
              <w:t>Collateral with liquidity monitoring. Score alerts at 60.</w:t>
            </w:r>
          </w:p>
        </w:tc>
      </w:tr>
      <w:tr w:rsidR="00F63DB9" w14:paraId="2C78221F" w14:textId="77777777">
        <w:tblPrEx>
          <w:tblCellMar>
            <w:top w:w="0" w:type="dxa"/>
            <w:bottom w:w="0" w:type="dxa"/>
          </w:tblCellMar>
        </w:tblPrEx>
        <w:tc>
          <w:tcPr>
            <w:tcW w:w="14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34E96152" w14:textId="77777777" w:rsidR="00F63DB9" w:rsidRDefault="00000000">
            <w:r>
              <w:rPr>
                <w:b/>
                <w:bCs/>
                <w:sz w:val="18"/>
                <w:szCs w:val="18"/>
              </w:rPr>
              <w:t>40–59</w:t>
            </w:r>
          </w:p>
        </w:tc>
        <w:tc>
          <w:tcPr>
            <w:tcW w:w="16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78475FCD" w14:textId="77777777" w:rsidR="00F63DB9" w:rsidRDefault="00000000">
            <w:r>
              <w:rPr>
                <w:b/>
                <w:bCs/>
                <w:sz w:val="18"/>
                <w:szCs w:val="18"/>
              </w:rPr>
              <w:t>LL-3</w:t>
            </w:r>
          </w:p>
        </w:tc>
        <w:tc>
          <w:tcPr>
            <w:tcW w:w="16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65333395" w14:textId="77777777" w:rsidR="00F63DB9" w:rsidRDefault="00000000">
            <w:r>
              <w:rPr>
                <w:sz w:val="18"/>
                <w:szCs w:val="18"/>
              </w:rPr>
              <w:t>50–65%</w:t>
            </w:r>
          </w:p>
        </w:tc>
        <w:tc>
          <w:tcPr>
            <w:tcW w:w="20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784EBB8F" w14:textId="77777777" w:rsidR="00F63DB9" w:rsidRDefault="00000000">
            <w:r>
              <w:rPr>
                <w:sz w:val="18"/>
                <w:szCs w:val="18"/>
              </w:rPr>
              <w:t>70–80%</w:t>
            </w:r>
          </w:p>
        </w:tc>
        <w:tc>
          <w:tcPr>
            <w:tcW w:w="276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7F7E5462" w14:textId="77777777" w:rsidR="00F63DB9" w:rsidRDefault="00000000">
            <w:r>
              <w:rPr>
                <w:sz w:val="18"/>
                <w:szCs w:val="18"/>
              </w:rPr>
              <w:t>Reduced LTV. Mandatory liquidity reserve. Score alerts at 50.</w:t>
            </w:r>
          </w:p>
        </w:tc>
      </w:tr>
      <w:tr w:rsidR="00F63DB9" w14:paraId="14650E1E" w14:textId="77777777">
        <w:tblPrEx>
          <w:tblCellMar>
            <w:top w:w="0" w:type="dxa"/>
            <w:bottom w:w="0" w:type="dxa"/>
          </w:tblCellMar>
        </w:tblPrEx>
        <w:tc>
          <w:tcPr>
            <w:tcW w:w="14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7C1D61B" w14:textId="77777777" w:rsidR="00F63DB9" w:rsidRDefault="00000000">
            <w:r>
              <w:rPr>
                <w:b/>
                <w:bCs/>
                <w:sz w:val="18"/>
                <w:szCs w:val="18"/>
              </w:rPr>
              <w:t>20–39</w:t>
            </w:r>
          </w:p>
        </w:tc>
        <w:tc>
          <w:tcPr>
            <w:tcW w:w="16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23F914B" w14:textId="77777777" w:rsidR="00F63DB9" w:rsidRDefault="00000000">
            <w:r>
              <w:rPr>
                <w:b/>
                <w:bCs/>
                <w:sz w:val="18"/>
                <w:szCs w:val="18"/>
              </w:rPr>
              <w:t>LL-4</w:t>
            </w:r>
          </w:p>
        </w:tc>
        <w:tc>
          <w:tcPr>
            <w:tcW w:w="16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5BB5A8A9" w14:textId="77777777" w:rsidR="00F63DB9" w:rsidRDefault="00000000">
            <w:r>
              <w:rPr>
                <w:sz w:val="18"/>
                <w:szCs w:val="18"/>
              </w:rPr>
              <w:t>20–40%</w:t>
            </w:r>
          </w:p>
        </w:tc>
        <w:tc>
          <w:tcPr>
            <w:tcW w:w="20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31440FF" w14:textId="77777777" w:rsidR="00F63DB9" w:rsidRDefault="00000000">
            <w:r>
              <w:rPr>
                <w:sz w:val="18"/>
                <w:szCs w:val="18"/>
              </w:rPr>
              <w:t>50–65%</w:t>
            </w:r>
          </w:p>
        </w:tc>
        <w:tc>
          <w:tcPr>
            <w:tcW w:w="276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B0E732C" w14:textId="77777777" w:rsidR="00F63DB9" w:rsidRDefault="00000000">
            <w:r>
              <w:rPr>
                <w:sz w:val="18"/>
                <w:szCs w:val="18"/>
              </w:rPr>
              <w:t>High-risk collateral. Not recommended without governance approval.</w:t>
            </w:r>
          </w:p>
        </w:tc>
      </w:tr>
      <w:tr w:rsidR="00F63DB9" w14:paraId="054C2CD0" w14:textId="77777777">
        <w:tblPrEx>
          <w:tblCellMar>
            <w:top w:w="0" w:type="dxa"/>
            <w:bottom w:w="0" w:type="dxa"/>
          </w:tblCellMar>
        </w:tblPrEx>
        <w:tc>
          <w:tcPr>
            <w:tcW w:w="14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3DB520B" w14:textId="77777777" w:rsidR="00F63DB9" w:rsidRDefault="00000000">
            <w:r>
              <w:rPr>
                <w:b/>
                <w:bCs/>
                <w:sz w:val="18"/>
                <w:szCs w:val="18"/>
              </w:rPr>
              <w:t>0–19</w:t>
            </w:r>
          </w:p>
        </w:tc>
        <w:tc>
          <w:tcPr>
            <w:tcW w:w="16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FE72BDE" w14:textId="77777777" w:rsidR="00F63DB9" w:rsidRDefault="00000000">
            <w:r>
              <w:rPr>
                <w:b/>
                <w:bCs/>
                <w:sz w:val="18"/>
                <w:szCs w:val="18"/>
              </w:rPr>
              <w:t>LL-5</w:t>
            </w:r>
          </w:p>
        </w:tc>
        <w:tc>
          <w:tcPr>
            <w:tcW w:w="16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328A9C25" w14:textId="77777777" w:rsidR="00F63DB9" w:rsidRDefault="00000000">
            <w:r>
              <w:rPr>
                <w:sz w:val="18"/>
                <w:szCs w:val="18"/>
              </w:rPr>
              <w:t>0%</w:t>
            </w:r>
          </w:p>
        </w:tc>
        <w:tc>
          <w:tcPr>
            <w:tcW w:w="20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A950FA3" w14:textId="77777777" w:rsidR="00F63DB9" w:rsidRDefault="00000000">
            <w:r>
              <w:rPr>
                <w:sz w:val="18"/>
                <w:szCs w:val="18"/>
              </w:rPr>
              <w:t>N/A</w:t>
            </w:r>
          </w:p>
        </w:tc>
        <w:tc>
          <w:tcPr>
            <w:tcW w:w="276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3858BAD" w14:textId="77777777" w:rsidR="00F63DB9" w:rsidRDefault="00000000">
            <w:r>
              <w:rPr>
                <w:sz w:val="18"/>
                <w:szCs w:val="18"/>
              </w:rPr>
              <w:t xml:space="preserve">Do not </w:t>
            </w:r>
            <w:proofErr w:type="gramStart"/>
            <w:r>
              <w:rPr>
                <w:sz w:val="18"/>
                <w:szCs w:val="18"/>
              </w:rPr>
              <w:t>accept</w:t>
            </w:r>
            <w:proofErr w:type="gramEnd"/>
            <w:r>
              <w:rPr>
                <w:sz w:val="18"/>
                <w:szCs w:val="18"/>
              </w:rPr>
              <w:t xml:space="preserve"> as collateral. No reliable liquidation path.</w:t>
            </w:r>
          </w:p>
        </w:tc>
      </w:tr>
    </w:tbl>
    <w:p w14:paraId="565FED8B" w14:textId="77777777" w:rsidR="00F63DB9" w:rsidRDefault="00000000">
      <w:pPr>
        <w:spacing w:after="200" w:line="276" w:lineRule="auto"/>
      </w:pPr>
      <w:r>
        <w:rPr>
          <w:sz w:val="24"/>
          <w:szCs w:val="24"/>
        </w:rPr>
        <w:t xml:space="preserve"> </w:t>
      </w:r>
    </w:p>
    <w:p w14:paraId="3928E05D" w14:textId="77777777" w:rsidR="00F63DB9" w:rsidRDefault="00000000">
      <w:pPr>
        <w:pStyle w:val="Heading1"/>
      </w:pPr>
      <w:r>
        <w:lastRenderedPageBreak/>
        <w:t>Chapter 13: Institutional Allocation Applications</w:t>
      </w:r>
    </w:p>
    <w:p w14:paraId="703414B7" w14:textId="77777777" w:rsidR="00F63DB9" w:rsidRDefault="00000000">
      <w:pPr>
        <w:pStyle w:val="Heading2"/>
        <w:pBdr>
          <w:bottom w:val="single" w:sz="4" w:space="4" w:color="CBD5E1"/>
        </w:pBdr>
      </w:pPr>
      <w:r>
        <w:t>13.1 The Liquidity Ladder Framework</w:t>
      </w:r>
    </w:p>
    <w:p w14:paraId="190BB4E2" w14:textId="77777777" w:rsidR="00F63DB9" w:rsidRDefault="00000000">
      <w:pPr>
        <w:spacing w:before="60" w:after="120" w:line="320" w:lineRule="auto"/>
      </w:pPr>
      <w:r>
        <w:t>Institutional RWA portfolio construction should incorporate RWALS scores as a primary dimension of portfolio design, alongside return, credit quality, duration, and concentration. The concept of a liquidity ladder — deliberately allocating across liquidity score ranges to achieve a target portfolio-level liquidity profile — is introduced here as a framework for institutional adoption.</w:t>
      </w:r>
    </w:p>
    <w:p w14:paraId="7126F413" w14:textId="77777777" w:rsidR="00F63DB9" w:rsidRDefault="00000000">
      <w:pPr>
        <w:spacing w:after="80" w:line="276" w:lineRule="auto"/>
      </w:pPr>
      <w:r>
        <w:rPr>
          <w:sz w:val="24"/>
          <w:szCs w:val="24"/>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63DB9" w14:paraId="70A55C69" w14:textId="77777777">
        <w:tblPrEx>
          <w:tblCellMar>
            <w:top w:w="0" w:type="dxa"/>
            <w:bottom w:w="0" w:type="dxa"/>
          </w:tblCellMar>
        </w:tblPrEx>
        <w:tc>
          <w:tcPr>
            <w:tcW w:w="9360" w:type="dxa"/>
            <w:tcBorders>
              <w:top w:val="single" w:sz="1" w:space="0" w:color="1A3A6B"/>
              <w:left w:val="single" w:sz="12" w:space="0" w:color="1A3A6B"/>
              <w:bottom w:val="single" w:sz="1" w:space="0" w:color="1A3A6B"/>
            </w:tcBorders>
            <w:shd w:val="clear" w:color="auto" w:fill="F1F5F9"/>
            <w:tcMar>
              <w:top w:w="160" w:type="dxa"/>
              <w:left w:w="240" w:type="dxa"/>
              <w:bottom w:w="160" w:type="dxa"/>
              <w:right w:w="240" w:type="dxa"/>
            </w:tcMar>
          </w:tcPr>
          <w:p w14:paraId="7E6E8305" w14:textId="77777777" w:rsidR="00F63DB9" w:rsidRDefault="00000000">
            <w:pPr>
              <w:spacing w:line="300" w:lineRule="auto"/>
            </w:pPr>
            <w:r>
              <w:rPr>
                <w:color w:val="0A1628"/>
              </w:rPr>
              <w:t>The Liquidity Ladder: A portfolio construction methodology in which the investor allocates a defined percentage of RWA exposure to each RWALS grade band, ensuring that the portfolio has a predictable and modeled liquidity profile at the aggregate level, even when individual holdings are illiquid.</w:t>
            </w:r>
          </w:p>
        </w:tc>
      </w:tr>
    </w:tbl>
    <w:p w14:paraId="12D72341" w14:textId="77777777" w:rsidR="00F63DB9" w:rsidRDefault="00000000">
      <w:pPr>
        <w:spacing w:after="120" w:line="276" w:lineRule="auto"/>
      </w:pPr>
      <w:r>
        <w:rPr>
          <w:sz w:val="24"/>
          <w:szCs w:val="24"/>
        </w:rPr>
        <w:t xml:space="preserve"> </w:t>
      </w:r>
    </w:p>
    <w:p w14:paraId="627038DF" w14:textId="77777777" w:rsidR="00F63DB9" w:rsidRDefault="00000000">
      <w:pPr>
        <w:pStyle w:val="Heading2"/>
        <w:pBdr>
          <w:bottom w:val="single" w:sz="4" w:space="4" w:color="CBD5E1"/>
        </w:pBdr>
      </w:pPr>
      <w:r>
        <w:t>13.2 Sample Portfolio Constructions</w:t>
      </w:r>
    </w:p>
    <w:p w14:paraId="0642AF10" w14:textId="77777777" w:rsidR="00F63DB9" w:rsidRDefault="00000000">
      <w:pPr>
        <w:spacing w:before="60" w:after="120" w:line="320" w:lineRule="auto"/>
      </w:pPr>
      <w:r>
        <w:t>Three illustrative portfolio constructions are presented below, representing a conservative, balanced, and aggressive approach to RWA liquidity profile management:</w:t>
      </w:r>
    </w:p>
    <w:p w14:paraId="4742A971" w14:textId="77777777" w:rsidR="00F63DB9" w:rsidRDefault="00000000">
      <w:pPr>
        <w:spacing w:after="80" w:line="276" w:lineRule="auto"/>
      </w:pPr>
      <w:r>
        <w:rPr>
          <w:sz w:val="24"/>
          <w:szCs w:val="24"/>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000"/>
        <w:gridCol w:w="2580"/>
        <w:gridCol w:w="2580"/>
      </w:tblGrid>
      <w:tr w:rsidR="00F63DB9" w14:paraId="71B9DF11" w14:textId="77777777">
        <w:tblPrEx>
          <w:tblCellMar>
            <w:top w:w="0" w:type="dxa"/>
            <w:bottom w:w="0" w:type="dxa"/>
          </w:tblCellMar>
        </w:tblPrEx>
        <w:trPr>
          <w:tblHeader/>
        </w:trPr>
        <w:tc>
          <w:tcPr>
            <w:tcW w:w="22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636B2978" w14:textId="77777777" w:rsidR="00F63DB9" w:rsidRDefault="00000000">
            <w:pPr>
              <w:jc w:val="center"/>
            </w:pPr>
            <w:r>
              <w:rPr>
                <w:b/>
                <w:bCs/>
                <w:color w:val="FFFFFF"/>
                <w:sz w:val="18"/>
                <w:szCs w:val="18"/>
              </w:rPr>
              <w:t>RWALS Band</w:t>
            </w:r>
          </w:p>
        </w:tc>
        <w:tc>
          <w:tcPr>
            <w:tcW w:w="200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2122BD22" w14:textId="77777777" w:rsidR="00F63DB9" w:rsidRDefault="00000000">
            <w:pPr>
              <w:jc w:val="center"/>
            </w:pPr>
            <w:r>
              <w:rPr>
                <w:b/>
                <w:bCs/>
                <w:color w:val="FFFFFF"/>
                <w:sz w:val="18"/>
                <w:szCs w:val="18"/>
              </w:rPr>
              <w:t>Grade</w:t>
            </w:r>
          </w:p>
        </w:tc>
        <w:tc>
          <w:tcPr>
            <w:tcW w:w="258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4CBE8157" w14:textId="77777777" w:rsidR="00F63DB9" w:rsidRDefault="00000000">
            <w:pPr>
              <w:jc w:val="center"/>
            </w:pPr>
            <w:r>
              <w:rPr>
                <w:b/>
                <w:bCs/>
                <w:color w:val="FFFFFF"/>
                <w:sz w:val="18"/>
                <w:szCs w:val="18"/>
              </w:rPr>
              <w:t>Conservative Allocation</w:t>
            </w:r>
          </w:p>
        </w:tc>
        <w:tc>
          <w:tcPr>
            <w:tcW w:w="2580" w:type="dxa"/>
            <w:tcBorders>
              <w:top w:val="single" w:sz="1" w:space="0" w:color="1A3A6B"/>
              <w:left w:val="single" w:sz="1" w:space="0" w:color="1A3A6B"/>
              <w:bottom w:val="single" w:sz="1" w:space="0" w:color="1A3A6B"/>
              <w:right w:val="single" w:sz="1" w:space="0" w:color="1A3A6B"/>
            </w:tcBorders>
            <w:shd w:val="clear" w:color="auto" w:fill="0A1628"/>
            <w:tcMar>
              <w:top w:w="100" w:type="dxa"/>
              <w:left w:w="120" w:type="dxa"/>
              <w:bottom w:w="100" w:type="dxa"/>
              <w:right w:w="120" w:type="dxa"/>
            </w:tcMar>
          </w:tcPr>
          <w:p w14:paraId="4374C517" w14:textId="77777777" w:rsidR="00F63DB9" w:rsidRDefault="00000000">
            <w:pPr>
              <w:jc w:val="center"/>
            </w:pPr>
            <w:r>
              <w:rPr>
                <w:b/>
                <w:bCs/>
                <w:color w:val="FFFFFF"/>
                <w:sz w:val="18"/>
                <w:szCs w:val="18"/>
              </w:rPr>
              <w:t>Balanced Allocation</w:t>
            </w:r>
          </w:p>
        </w:tc>
      </w:tr>
      <w:tr w:rsidR="00F63DB9" w14:paraId="4795C574" w14:textId="77777777">
        <w:tblPrEx>
          <w:tblCellMar>
            <w:top w:w="0" w:type="dxa"/>
            <w:bottom w:w="0" w:type="dxa"/>
          </w:tblCellMar>
        </w:tblPrEx>
        <w:tc>
          <w:tcPr>
            <w:tcW w:w="22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2AF759B" w14:textId="77777777" w:rsidR="00F63DB9" w:rsidRDefault="00000000">
            <w:r>
              <w:rPr>
                <w:b/>
                <w:bCs/>
                <w:sz w:val="20"/>
                <w:szCs w:val="20"/>
              </w:rPr>
              <w:t>80–100 (LL-1)</w:t>
            </w:r>
          </w:p>
        </w:tc>
        <w:tc>
          <w:tcPr>
            <w:tcW w:w="20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203F7A7A" w14:textId="77777777" w:rsidR="00F63DB9" w:rsidRDefault="00000000">
            <w:r>
              <w:rPr>
                <w:b/>
                <w:bCs/>
                <w:sz w:val="20"/>
                <w:szCs w:val="20"/>
              </w:rPr>
              <w:t>HIGH</w:t>
            </w:r>
          </w:p>
        </w:tc>
        <w:tc>
          <w:tcPr>
            <w:tcW w:w="25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3E4A5285" w14:textId="77777777" w:rsidR="00F63DB9" w:rsidRDefault="00000000">
            <w:pPr>
              <w:jc w:val="center"/>
            </w:pPr>
            <w:r>
              <w:rPr>
                <w:sz w:val="20"/>
                <w:szCs w:val="20"/>
              </w:rPr>
              <w:t>60%</w:t>
            </w:r>
          </w:p>
        </w:tc>
        <w:tc>
          <w:tcPr>
            <w:tcW w:w="25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444C8BA3" w14:textId="77777777" w:rsidR="00F63DB9" w:rsidRDefault="00000000">
            <w:pPr>
              <w:jc w:val="center"/>
            </w:pPr>
            <w:r>
              <w:rPr>
                <w:sz w:val="20"/>
                <w:szCs w:val="20"/>
              </w:rPr>
              <w:t>40%</w:t>
            </w:r>
          </w:p>
        </w:tc>
      </w:tr>
      <w:tr w:rsidR="00F63DB9" w14:paraId="08C880B8" w14:textId="77777777">
        <w:tblPrEx>
          <w:tblCellMar>
            <w:top w:w="0" w:type="dxa"/>
            <w:bottom w:w="0" w:type="dxa"/>
          </w:tblCellMar>
        </w:tblPrEx>
        <w:tc>
          <w:tcPr>
            <w:tcW w:w="22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57C4D9CB" w14:textId="77777777" w:rsidR="00F63DB9" w:rsidRDefault="00000000">
            <w:r>
              <w:rPr>
                <w:b/>
                <w:bCs/>
                <w:sz w:val="20"/>
                <w:szCs w:val="20"/>
              </w:rPr>
              <w:t>60–79 (LL-2)</w:t>
            </w:r>
          </w:p>
        </w:tc>
        <w:tc>
          <w:tcPr>
            <w:tcW w:w="20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5E414BE" w14:textId="77777777" w:rsidR="00F63DB9" w:rsidRDefault="00000000">
            <w:r>
              <w:rPr>
                <w:b/>
                <w:bCs/>
                <w:sz w:val="20"/>
                <w:szCs w:val="20"/>
              </w:rPr>
              <w:t>MODERATE</w:t>
            </w:r>
          </w:p>
        </w:tc>
        <w:tc>
          <w:tcPr>
            <w:tcW w:w="25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9FC8841" w14:textId="77777777" w:rsidR="00F63DB9" w:rsidRDefault="00000000">
            <w:pPr>
              <w:jc w:val="center"/>
            </w:pPr>
            <w:r>
              <w:rPr>
                <w:sz w:val="20"/>
                <w:szCs w:val="20"/>
              </w:rPr>
              <w:t>30%</w:t>
            </w:r>
          </w:p>
        </w:tc>
        <w:tc>
          <w:tcPr>
            <w:tcW w:w="25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803E72D" w14:textId="77777777" w:rsidR="00F63DB9" w:rsidRDefault="00000000">
            <w:pPr>
              <w:jc w:val="center"/>
            </w:pPr>
            <w:r>
              <w:rPr>
                <w:sz w:val="20"/>
                <w:szCs w:val="20"/>
              </w:rPr>
              <w:t>35%</w:t>
            </w:r>
          </w:p>
        </w:tc>
      </w:tr>
      <w:tr w:rsidR="00F63DB9" w14:paraId="44C60888" w14:textId="77777777">
        <w:tblPrEx>
          <w:tblCellMar>
            <w:top w:w="0" w:type="dxa"/>
            <w:bottom w:w="0" w:type="dxa"/>
          </w:tblCellMar>
        </w:tblPrEx>
        <w:tc>
          <w:tcPr>
            <w:tcW w:w="22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EFEBE61" w14:textId="77777777" w:rsidR="00F63DB9" w:rsidRDefault="00000000">
            <w:r>
              <w:rPr>
                <w:b/>
                <w:bCs/>
                <w:sz w:val="20"/>
                <w:szCs w:val="20"/>
              </w:rPr>
              <w:t>40–59 (LL-3)</w:t>
            </w:r>
          </w:p>
        </w:tc>
        <w:tc>
          <w:tcPr>
            <w:tcW w:w="20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5DDA572B" w14:textId="77777777" w:rsidR="00F63DB9" w:rsidRDefault="00000000">
            <w:r>
              <w:rPr>
                <w:b/>
                <w:bCs/>
                <w:sz w:val="20"/>
                <w:szCs w:val="20"/>
              </w:rPr>
              <w:t>LIMITED</w:t>
            </w:r>
          </w:p>
        </w:tc>
        <w:tc>
          <w:tcPr>
            <w:tcW w:w="25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C4EF4D9" w14:textId="77777777" w:rsidR="00F63DB9" w:rsidRDefault="00000000">
            <w:pPr>
              <w:jc w:val="center"/>
            </w:pPr>
            <w:r>
              <w:rPr>
                <w:sz w:val="20"/>
                <w:szCs w:val="20"/>
              </w:rPr>
              <w:t>10%</w:t>
            </w:r>
          </w:p>
        </w:tc>
        <w:tc>
          <w:tcPr>
            <w:tcW w:w="25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C13F5B6" w14:textId="77777777" w:rsidR="00F63DB9" w:rsidRDefault="00000000">
            <w:pPr>
              <w:jc w:val="center"/>
            </w:pPr>
            <w:r>
              <w:rPr>
                <w:sz w:val="20"/>
                <w:szCs w:val="20"/>
              </w:rPr>
              <w:t>20%</w:t>
            </w:r>
          </w:p>
        </w:tc>
      </w:tr>
      <w:tr w:rsidR="00F63DB9" w14:paraId="608F9A36" w14:textId="77777777">
        <w:tblPrEx>
          <w:tblCellMar>
            <w:top w:w="0" w:type="dxa"/>
            <w:bottom w:w="0" w:type="dxa"/>
          </w:tblCellMar>
        </w:tblPrEx>
        <w:tc>
          <w:tcPr>
            <w:tcW w:w="22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C4212D5" w14:textId="77777777" w:rsidR="00F63DB9" w:rsidRDefault="00000000">
            <w:r>
              <w:rPr>
                <w:b/>
                <w:bCs/>
                <w:sz w:val="20"/>
                <w:szCs w:val="20"/>
              </w:rPr>
              <w:t>0–39 (LL-4/5)</w:t>
            </w:r>
          </w:p>
        </w:tc>
        <w:tc>
          <w:tcPr>
            <w:tcW w:w="20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DD975E2" w14:textId="77777777" w:rsidR="00F63DB9" w:rsidRDefault="00000000">
            <w:r>
              <w:rPr>
                <w:b/>
                <w:bCs/>
                <w:sz w:val="20"/>
                <w:szCs w:val="20"/>
              </w:rPr>
              <w:t>ILLIQUID</w:t>
            </w:r>
          </w:p>
        </w:tc>
        <w:tc>
          <w:tcPr>
            <w:tcW w:w="25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A8C265B" w14:textId="77777777" w:rsidR="00F63DB9" w:rsidRDefault="00000000">
            <w:pPr>
              <w:jc w:val="center"/>
            </w:pPr>
            <w:r>
              <w:rPr>
                <w:sz w:val="20"/>
                <w:szCs w:val="20"/>
              </w:rPr>
              <w:t>0%</w:t>
            </w:r>
          </w:p>
        </w:tc>
        <w:tc>
          <w:tcPr>
            <w:tcW w:w="25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DA8674C" w14:textId="77777777" w:rsidR="00F63DB9" w:rsidRDefault="00000000">
            <w:pPr>
              <w:jc w:val="center"/>
            </w:pPr>
            <w:r>
              <w:rPr>
                <w:sz w:val="20"/>
                <w:szCs w:val="20"/>
              </w:rPr>
              <w:t>5%</w:t>
            </w:r>
          </w:p>
        </w:tc>
      </w:tr>
    </w:tbl>
    <w:p w14:paraId="001BEE06" w14:textId="77777777" w:rsidR="00F63DB9" w:rsidRDefault="00000000">
      <w:r>
        <w:br w:type="page"/>
      </w:r>
    </w:p>
    <w:p w14:paraId="4A871EF1" w14:textId="77777777" w:rsidR="00F63DB9" w:rsidRDefault="00000000">
      <w:pPr>
        <w:pStyle w:val="Heading1"/>
      </w:pPr>
      <w:r>
        <w:lastRenderedPageBreak/>
        <w:t>Chapter 14: Regulatory Considerations</w:t>
      </w:r>
    </w:p>
    <w:p w14:paraId="3CBAD753" w14:textId="77777777" w:rsidR="00F63DB9" w:rsidRDefault="00000000">
      <w:pPr>
        <w:pStyle w:val="Heading2"/>
        <w:pBdr>
          <w:bottom w:val="single" w:sz="4" w:space="4" w:color="CBD5E1"/>
        </w:pBdr>
      </w:pPr>
      <w:r>
        <w:t>14.1 The Regulatory Tailwind</w:t>
      </w:r>
    </w:p>
    <w:p w14:paraId="66E34FDC" w14:textId="77777777" w:rsidR="00F63DB9" w:rsidRDefault="00000000">
      <w:pPr>
        <w:spacing w:before="60" w:after="120" w:line="320" w:lineRule="auto"/>
      </w:pPr>
      <w:r>
        <w:t>The regulatory landscape for tokenized finance is evolving rapidly in a direction that makes standardized liquidity scoring increasingly important. Several regulatory trends are directly relevant to RWALS:</w:t>
      </w:r>
    </w:p>
    <w:p w14:paraId="397B9A6A" w14:textId="77777777" w:rsidR="00F63DB9" w:rsidRDefault="00000000">
      <w:pPr>
        <w:pStyle w:val="Heading3"/>
      </w:pPr>
      <w:r>
        <w:t xml:space="preserve">14.1.1 </w:t>
      </w:r>
      <w:proofErr w:type="spellStart"/>
      <w:r>
        <w:t>MiCA</w:t>
      </w:r>
      <w:proofErr w:type="spellEnd"/>
      <w:r>
        <w:t xml:space="preserve"> (EU Markets in Crypto-Assets Regulation)</w:t>
      </w:r>
    </w:p>
    <w:p w14:paraId="55DFB923" w14:textId="77777777" w:rsidR="00F63DB9" w:rsidRDefault="00000000">
      <w:pPr>
        <w:spacing w:before="60" w:after="120" w:line="320" w:lineRule="auto"/>
      </w:pPr>
      <w:proofErr w:type="spellStart"/>
      <w:r>
        <w:t>MiCA</w:t>
      </w:r>
      <w:proofErr w:type="spellEnd"/>
      <w:r>
        <w:t xml:space="preserve">, which entered into force in June 2023 and applies fully from December 2024, requires issuers of asset-referenced tokens to maintain adequate liquidity buffers and to make liquidity-related disclosures. While </w:t>
      </w:r>
      <w:proofErr w:type="spellStart"/>
      <w:r>
        <w:t>MiCA</w:t>
      </w:r>
      <w:proofErr w:type="spellEnd"/>
      <w:r>
        <w:t xml:space="preserve"> does not prescribe a specific scoring methodology, RWALS provides a ready-made framework for compliance with the spirit of </w:t>
      </w:r>
      <w:proofErr w:type="spellStart"/>
      <w:r>
        <w:t>MiCA's</w:t>
      </w:r>
      <w:proofErr w:type="spellEnd"/>
      <w:r>
        <w:t xml:space="preserve"> liquidity transparency requirements.</w:t>
      </w:r>
    </w:p>
    <w:p w14:paraId="02CE4B63" w14:textId="77777777" w:rsidR="00F63DB9" w:rsidRDefault="00000000">
      <w:pPr>
        <w:pStyle w:val="Heading3"/>
      </w:pPr>
      <w:r>
        <w:t>14.1.2 SEC Regulation and Tokenized Securities</w:t>
      </w:r>
    </w:p>
    <w:p w14:paraId="3F2EB602" w14:textId="77777777" w:rsidR="00F63DB9" w:rsidRDefault="00000000">
      <w:pPr>
        <w:spacing w:before="60" w:after="120" w:line="320" w:lineRule="auto"/>
      </w:pPr>
      <w:r>
        <w:t>The Securities and Exchange Commission's treatment of tokenized securities, including its engagement with firms like BlackRock, Ondo, and Securitize, has increasingly focused on secondary market structure and investor protection in illiquid tokenized markets. RWALS scores provide a transparent, auditable representation of secondary market liquidity that is directly relevant to SEC disclosure discussions.</w:t>
      </w:r>
    </w:p>
    <w:p w14:paraId="7E094889" w14:textId="77777777" w:rsidR="00F63DB9" w:rsidRDefault="00000000">
      <w:pPr>
        <w:pStyle w:val="Heading3"/>
      </w:pPr>
      <w:r>
        <w:t>14.1.3 Basel III and Banking Regulation</w:t>
      </w:r>
    </w:p>
    <w:p w14:paraId="4530B07F" w14:textId="77777777" w:rsidR="00F63DB9" w:rsidRDefault="00000000">
      <w:pPr>
        <w:spacing w:before="60" w:after="120" w:line="320" w:lineRule="auto"/>
      </w:pPr>
      <w:r>
        <w:t>Banking regulators globally are beginning to grapple with how tokenized RWA assets should be classified for capital adequacy purposes. Liquidity quality is a central input to Basel III's Liquidity Coverage Ratio framework. RWALS scores, mapped to the LCR framework, could provide banks holding tokenized RWAs with a standardized methodology for regulatory capital allocation.</w:t>
      </w:r>
    </w:p>
    <w:p w14:paraId="77EFD45F" w14:textId="77777777" w:rsidR="00F63DB9" w:rsidRDefault="00000000">
      <w:pPr>
        <w:pStyle w:val="Heading2"/>
        <w:pBdr>
          <w:bottom w:val="single" w:sz="4" w:space="4" w:color="CBD5E1"/>
        </w:pBdr>
      </w:pPr>
      <w:r>
        <w:t>14.2 RWALS as a Regulatory Reference Standard</w:t>
      </w:r>
    </w:p>
    <w:p w14:paraId="46B3315B" w14:textId="77777777" w:rsidR="00F63DB9" w:rsidRDefault="00000000">
      <w:pPr>
        <w:spacing w:before="60" w:after="120" w:line="320" w:lineRule="auto"/>
      </w:pPr>
      <w:r>
        <w:t>RWALS is designed from the ground up to be compatible with regulatory adoption. The open-source, versioned, fully documented methodology makes it auditable by regulatory bodies. The conservative scoring philosophy aligns with regulatory preferences for prudent risk assessment. RWALS intends to engage actively with regulatory bodies including the SEC, ESMA, MAS, and the Financial Stability Board to offer RWALS as a reference framework for RWA liquidity classification.</w:t>
      </w:r>
    </w:p>
    <w:p w14:paraId="637938D0" w14:textId="77777777" w:rsidR="00F63DB9" w:rsidRDefault="00000000">
      <w:r>
        <w:br w:type="page"/>
      </w:r>
    </w:p>
    <w:p w14:paraId="3C856BB7" w14:textId="77777777" w:rsidR="00F63DB9" w:rsidRDefault="00000000">
      <w:pPr>
        <w:pStyle w:val="Heading1"/>
      </w:pPr>
      <w:r>
        <w:lastRenderedPageBreak/>
        <w:t>Chapter 15: Governance and Methodology Evolution</w:t>
      </w:r>
    </w:p>
    <w:p w14:paraId="65821163" w14:textId="77777777" w:rsidR="00F63DB9" w:rsidRDefault="00000000">
      <w:pPr>
        <w:pStyle w:val="Heading2"/>
        <w:pBdr>
          <w:bottom w:val="single" w:sz="4" w:space="4" w:color="CBD5E1"/>
        </w:pBdr>
      </w:pPr>
      <w:r>
        <w:t>15.1 Open Methodology Governance</w:t>
      </w:r>
    </w:p>
    <w:p w14:paraId="49E1EEDC" w14:textId="77777777" w:rsidR="00F63DB9" w:rsidRDefault="00000000">
      <w:pPr>
        <w:spacing w:before="60" w:after="120" w:line="320" w:lineRule="auto"/>
      </w:pPr>
      <w:r>
        <w:t>The RWALS methodology is published under an open review framework. Any market participant — issuer, protocol, allocator, researcher, or regulator — may submit comments, corrections, or proposed revisions to the methodology. All comments received will be published in full. Accepted revisions will be incorporated into subsequent methodology versions with full attribution.</w:t>
      </w:r>
    </w:p>
    <w:p w14:paraId="7B955D56" w14:textId="77777777" w:rsidR="00F63DB9" w:rsidRDefault="00000000">
      <w:pPr>
        <w:pStyle w:val="Heading2"/>
        <w:pBdr>
          <w:bottom w:val="single" w:sz="4" w:space="4" w:color="CBD5E1"/>
        </w:pBdr>
      </w:pPr>
      <w:r>
        <w:t>15.2 Version Control and Changelog</w:t>
      </w:r>
    </w:p>
    <w:p w14:paraId="2C2AB044" w14:textId="77777777" w:rsidR="00F63DB9" w:rsidRDefault="00000000">
      <w:pPr>
        <w:spacing w:before="60" w:after="120" w:line="320" w:lineRule="auto"/>
      </w:pPr>
      <w:r>
        <w:t>RWALS methodology versions follow semantic versioning. Major version increments (1.0 → 2.0) indicate fundamental changes to the scoring framework. Minor version increments (1.0 → 1.1) indicate additions of new asset categories, dimension refinements, or clarifications. Patch versions (1.0.0 → 1.0.1) indicate corrections to individual scores without methodology changes.</w:t>
      </w:r>
    </w:p>
    <w:p w14:paraId="7CB8FCA3" w14:textId="77777777" w:rsidR="00F63DB9" w:rsidRDefault="00000000">
      <w:pPr>
        <w:pStyle w:val="Heading2"/>
        <w:pBdr>
          <w:bottom w:val="single" w:sz="4" w:space="4" w:color="CBD5E1"/>
        </w:pBdr>
      </w:pPr>
      <w:r>
        <w:t xml:space="preserve">15.3 </w:t>
      </w:r>
      <w:proofErr w:type="gramStart"/>
      <w:r>
        <w:t>Score</w:t>
      </w:r>
      <w:proofErr w:type="gramEnd"/>
      <w:r>
        <w:t xml:space="preserve"> Update Cadence</w:t>
      </w:r>
    </w:p>
    <w:p w14:paraId="5FC0F48C" w14:textId="77777777" w:rsidR="00F63DB9" w:rsidRDefault="00000000">
      <w:pPr>
        <w:spacing w:before="60" w:after="120" w:line="320" w:lineRule="auto"/>
      </w:pPr>
      <w:r>
        <w:t>Initial RWALS scores are published on a monthly review cycle. As data infrastructure matures and automated on-chain data feeds are integrated, the target update cadence is weekly. Real-time score updates, triggered by material changes in redemption terms, secondary market depth, or NAV publication frequency, are the long-term goal.</w:t>
      </w:r>
    </w:p>
    <w:p w14:paraId="0872781A" w14:textId="77777777" w:rsidR="00F63DB9" w:rsidRDefault="00000000">
      <w:pPr>
        <w:pStyle w:val="Heading2"/>
        <w:pBdr>
          <w:bottom w:val="single" w:sz="4" w:space="4" w:color="CBD5E1"/>
        </w:pBdr>
      </w:pPr>
      <w:r>
        <w:t>15.4 Dispute Resolution</w:t>
      </w:r>
    </w:p>
    <w:p w14:paraId="2A763DBC" w14:textId="77777777" w:rsidR="00F63DB9" w:rsidRDefault="00000000">
      <w:pPr>
        <w:spacing w:before="60" w:after="120" w:line="320" w:lineRule="auto"/>
      </w:pPr>
      <w:r>
        <w:t>Issuers who believe their RWALS score is inaccurate may submit a formal correction request with supporting documentation. All correction requests are reviewed and responded to within 30 business days. Corrections that are substantiated by verifiable data will be implemented in the next scheduled score update. All dispute outcomes are published in the methodology changelog.</w:t>
      </w:r>
    </w:p>
    <w:p w14:paraId="152B294B" w14:textId="77777777" w:rsidR="00F63DB9" w:rsidRDefault="00000000">
      <w:r>
        <w:br w:type="page"/>
      </w:r>
    </w:p>
    <w:p w14:paraId="33DBED7A" w14:textId="77777777" w:rsidR="00F63DB9" w:rsidRDefault="00000000">
      <w:pPr>
        <w:pStyle w:val="Heading1"/>
      </w:pPr>
      <w:r>
        <w:lastRenderedPageBreak/>
        <w:t>Chapter 16: The RWA Secondary Market Roadmap</w:t>
      </w:r>
    </w:p>
    <w:p w14:paraId="173222E3" w14:textId="77777777" w:rsidR="00F63DB9" w:rsidRDefault="00000000">
      <w:pPr>
        <w:pStyle w:val="Heading2"/>
        <w:pBdr>
          <w:bottom w:val="single" w:sz="4" w:space="4" w:color="CBD5E1"/>
        </w:pBdr>
      </w:pPr>
      <w:r>
        <w:t>16.1 Phase 1 — Intelligence Layer (Current)</w:t>
      </w:r>
    </w:p>
    <w:p w14:paraId="79710F77" w14:textId="77777777" w:rsidR="00F63DB9" w:rsidRDefault="00000000">
      <w:pPr>
        <w:spacing w:before="60" w:after="120" w:line="320" w:lineRule="auto"/>
      </w:pPr>
      <w:r>
        <w:t>The first phase of RWALS is the publication of this white paper and the live scoring dashboard at rwals.io. Phase 1 establishes the methodology, publishes initial scores for 15 major assets, and invites industry review. The goal of Phase 1 is to establish RWALS as the reference standard for RWA liquidity scoring.</w:t>
      </w:r>
    </w:p>
    <w:p w14:paraId="016B407F" w14:textId="77777777" w:rsidR="00F63DB9" w:rsidRDefault="00000000">
      <w:pPr>
        <w:pStyle w:val="Heading2"/>
        <w:pBdr>
          <w:bottom w:val="single" w:sz="4" w:space="4" w:color="CBD5E1"/>
        </w:pBdr>
      </w:pPr>
      <w:r>
        <w:t>16.2 Phase 2 — Data API and Protocol Integration (Q3-Q4 2025)</w:t>
      </w:r>
    </w:p>
    <w:p w14:paraId="0A95E9C8" w14:textId="77777777" w:rsidR="00F63DB9" w:rsidRDefault="00000000">
      <w:pPr>
        <w:spacing w:before="60" w:after="120" w:line="320" w:lineRule="auto"/>
      </w:pPr>
      <w:r>
        <w:t>Phase 2 delivers a comprehensive data API providing programmatic access to all RWALS scores, historical score data, dimension-level breakdowns, and 30-day score change deltas. The API is designed for direct integration into DeFi protocol risk management systems, institutional portfolio management platforms, and regulatory reporting tools.</w:t>
      </w:r>
    </w:p>
    <w:p w14:paraId="3436667D" w14:textId="77777777" w:rsidR="00F63DB9" w:rsidRDefault="00000000">
      <w:pPr>
        <w:pStyle w:val="Heading2"/>
        <w:pBdr>
          <w:bottom w:val="single" w:sz="4" w:space="4" w:color="CBD5E1"/>
        </w:pBdr>
      </w:pPr>
      <w:r>
        <w:t>16.3 Phase 3 — RFQ Liquidity Layer (2026)</w:t>
      </w:r>
    </w:p>
    <w:p w14:paraId="26069DAB" w14:textId="77777777" w:rsidR="00F63DB9" w:rsidRDefault="00000000">
      <w:pPr>
        <w:spacing w:before="60" w:after="120" w:line="320" w:lineRule="auto"/>
      </w:pPr>
      <w:r>
        <w:t>Phase 3 introduces the first standardized request-for-quote (RFQ) mechanism for tokenized RWA secondary market transactions. Building on the score infrastructure, Phase 3 enables institutional holders of illiquid RWA positions to request bids from a curated network of market makers, enabling price discovery and secondary market transactions for instruments currently trapped in illiquidity.</w:t>
      </w:r>
    </w:p>
    <w:p w14:paraId="66DB798E" w14:textId="77777777" w:rsidR="00F63DB9" w:rsidRDefault="00000000">
      <w:pPr>
        <w:pStyle w:val="Heading2"/>
        <w:pBdr>
          <w:bottom w:val="single" w:sz="4" w:space="4" w:color="CBD5E1"/>
        </w:pBdr>
      </w:pPr>
      <w:r>
        <w:t>16.4 Phase 4 — The Liquidity Standard (2026-2027)</w:t>
      </w:r>
    </w:p>
    <w:p w14:paraId="0CD32946" w14:textId="77777777" w:rsidR="00F63DB9" w:rsidRDefault="00000000">
      <w:pPr>
        <w:spacing w:before="60" w:after="120" w:line="320" w:lineRule="auto"/>
      </w:pPr>
      <w:r>
        <w:t>Phase 4 is the endgame: RWALS becomes the de facto global standard for RWA secondary market liquidity assessment, incorporated by reference into regulatory frameworks, DeFi protocol governance, institutional investment mandates, and tokenization platform documentation. The TRACE moment for tokenized finance.</w:t>
      </w:r>
    </w:p>
    <w:p w14:paraId="1BE314C9" w14:textId="77777777" w:rsidR="00F63DB9" w:rsidRDefault="00000000">
      <w:r>
        <w:br w:type="page"/>
      </w:r>
    </w:p>
    <w:p w14:paraId="71A118E4" w14:textId="77777777" w:rsidR="00F63DB9" w:rsidRDefault="00000000">
      <w:pPr>
        <w:pStyle w:val="Heading1"/>
      </w:pPr>
      <w:r>
        <w:lastRenderedPageBreak/>
        <w:t>Chapter 18: Conclusion</w:t>
      </w:r>
    </w:p>
    <w:p w14:paraId="4C44D3AB" w14:textId="77777777" w:rsidR="00F63DB9" w:rsidRDefault="00000000">
      <w:pPr>
        <w:spacing w:before="60" w:after="120" w:line="320" w:lineRule="auto"/>
      </w:pPr>
      <w:r>
        <w:t xml:space="preserve">Tokenized finance is at an inflection point. The supply-side infrastructure has been built. Institutional capital is present and willing. The regulatory environment, while still evolving, is broadly supportive. </w:t>
      </w:r>
      <w:proofErr w:type="gramStart"/>
      <w:r>
        <w:t>The technology</w:t>
      </w:r>
      <w:proofErr w:type="gramEnd"/>
      <w:r>
        <w:t xml:space="preserve"> works. What is missing is the transparency infrastructure that allows the demand side to function with confidence.</w:t>
      </w:r>
    </w:p>
    <w:p w14:paraId="0779363E" w14:textId="77777777" w:rsidR="00F63DB9" w:rsidRDefault="00000000">
      <w:pPr>
        <w:spacing w:before="60" w:after="120" w:line="320" w:lineRule="auto"/>
      </w:pPr>
      <w:r>
        <w:t>Secondary market liquidity data is not a nice-to-have feature of a mature tokenized finance ecosystem. It is a prerequisite for one. Without it, institutional capital remains trapped in a permanent liquidity premium calculation. Without it, DeFi protocols accumulate unquantified collateral risk. Without it, retail investors cannot assess what they own. Without it, the $2 trillion RWA market projected by 2030 remains a projection rather than a reality.</w:t>
      </w:r>
    </w:p>
    <w:p w14:paraId="5022AA4F" w14:textId="77777777" w:rsidR="00F63DB9" w:rsidRDefault="00000000">
      <w:pPr>
        <w:spacing w:before="60" w:after="120" w:line="320" w:lineRule="auto"/>
      </w:pPr>
      <w:r>
        <w:t>RWALS is the first standardized answer to this problem. It is deliberately designed to be transparent, conservative, auditable, and open to industry evolution. It is published not as a proprietary product but as a proposed industry standard — the same way TRACE was not a proprietary score but a market infrastructure.</w:t>
      </w:r>
    </w:p>
    <w:p w14:paraId="5CEC84F8" w14:textId="77777777" w:rsidR="00F63DB9" w:rsidRDefault="00000000">
      <w:pPr>
        <w:spacing w:before="60" w:after="120" w:line="320" w:lineRule="auto"/>
      </w:pPr>
      <w:r>
        <w:t>We invite every participant in the tokenized finance ecosystem — issuers, protocols, allocators, regulators, researchers, and technologists — to engage with this methodology, challenge its assumptions, propose improvements, and ultimately adopt it as the standard it is designed to become.</w:t>
      </w:r>
    </w:p>
    <w:p w14:paraId="78B609FD" w14:textId="77777777" w:rsidR="00F63DB9" w:rsidRDefault="00000000">
      <w:pPr>
        <w:spacing w:after="120" w:line="276" w:lineRule="auto"/>
      </w:pPr>
      <w:r>
        <w:rPr>
          <w:sz w:val="24"/>
          <w:szCs w:val="24"/>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63DB9" w14:paraId="6B5A5A40" w14:textId="77777777">
        <w:tblPrEx>
          <w:tblCellMar>
            <w:top w:w="0" w:type="dxa"/>
            <w:bottom w:w="0" w:type="dxa"/>
          </w:tblCellMar>
        </w:tblPrEx>
        <w:tc>
          <w:tcPr>
            <w:tcW w:w="9360" w:type="dxa"/>
            <w:tcBorders>
              <w:top w:val="single" w:sz="1" w:space="0" w:color="2563EB"/>
              <w:left w:val="single" w:sz="12" w:space="0" w:color="2563EB"/>
              <w:bottom w:val="single" w:sz="1" w:space="0" w:color="2563EB"/>
            </w:tcBorders>
            <w:shd w:val="clear" w:color="auto" w:fill="EFF6FF"/>
            <w:tcMar>
              <w:top w:w="160" w:type="dxa"/>
              <w:left w:w="240" w:type="dxa"/>
              <w:bottom w:w="160" w:type="dxa"/>
              <w:right w:w="240" w:type="dxa"/>
            </w:tcMar>
          </w:tcPr>
          <w:p w14:paraId="7AAA1E53" w14:textId="77777777" w:rsidR="00F63DB9" w:rsidRDefault="00000000">
            <w:pPr>
              <w:spacing w:line="300" w:lineRule="auto"/>
            </w:pPr>
            <w:r>
              <w:rPr>
                <w:color w:val="0A1628"/>
              </w:rPr>
              <w:t xml:space="preserve">The pre-TRACE moment in tokenized finance is now. RWALS </w:t>
            </w:r>
            <w:proofErr w:type="gramStart"/>
            <w:r>
              <w:rPr>
                <w:color w:val="0A1628"/>
              </w:rPr>
              <w:t>is</w:t>
            </w:r>
            <w:proofErr w:type="gramEnd"/>
            <w:r>
              <w:rPr>
                <w:color w:val="0A1628"/>
              </w:rPr>
              <w:t xml:space="preserve"> TRACE. And the window to establish the standard is open today.</w:t>
            </w:r>
          </w:p>
        </w:tc>
      </w:tr>
    </w:tbl>
    <w:p w14:paraId="04452C16" w14:textId="77777777" w:rsidR="00F63DB9" w:rsidRDefault="00000000">
      <w:pPr>
        <w:spacing w:after="160" w:line="276" w:lineRule="auto"/>
      </w:pPr>
      <w:r>
        <w:rPr>
          <w:sz w:val="24"/>
          <w:szCs w:val="24"/>
        </w:rPr>
        <w:t xml:space="preserve"> </w:t>
      </w:r>
    </w:p>
    <w:p w14:paraId="6CB8EB95" w14:textId="77777777" w:rsidR="00F63DB9" w:rsidRDefault="00000000">
      <w:pPr>
        <w:spacing w:before="120" w:after="40"/>
        <w:jc w:val="center"/>
      </w:pPr>
      <w:r>
        <w:rPr>
          <w:b/>
          <w:bCs/>
          <w:color w:val="0A1628"/>
          <w:sz w:val="28"/>
          <w:szCs w:val="28"/>
        </w:rPr>
        <w:t>RWALS™ — RWA Liquidity Score</w:t>
      </w:r>
    </w:p>
    <w:p w14:paraId="0D3297B0" w14:textId="77777777" w:rsidR="00F63DB9" w:rsidRDefault="00000000">
      <w:pPr>
        <w:spacing w:after="40"/>
        <w:jc w:val="center"/>
      </w:pPr>
      <w:r>
        <w:rPr>
          <w:color w:val="64748B"/>
        </w:rPr>
        <w:t>Version 1.0 — May 2025</w:t>
      </w:r>
    </w:p>
    <w:p w14:paraId="68F1E56B" w14:textId="77777777" w:rsidR="00F63DB9" w:rsidRDefault="00000000">
      <w:pPr>
        <w:spacing w:after="40"/>
        <w:jc w:val="center"/>
      </w:pPr>
      <w:proofErr w:type="gramStart"/>
      <w:r>
        <w:rPr>
          <w:color w:val="2563EB"/>
        </w:rPr>
        <w:t>rwals.io  •</w:t>
      </w:r>
      <w:proofErr w:type="gramEnd"/>
      <w:r>
        <w:rPr>
          <w:color w:val="2563EB"/>
        </w:rPr>
        <w:t xml:space="preserve">  rwals.org</w:t>
      </w:r>
    </w:p>
    <w:p w14:paraId="22FB39B3" w14:textId="77777777" w:rsidR="00F63DB9" w:rsidRDefault="00000000">
      <w:pPr>
        <w:jc w:val="center"/>
      </w:pPr>
      <w:r>
        <w:rPr>
          <w:color w:val="2563EB"/>
        </w:rPr>
        <w:t>team@rwals.io</w:t>
      </w:r>
    </w:p>
    <w:p w14:paraId="1AE15D39" w14:textId="77777777" w:rsidR="00F63DB9" w:rsidRDefault="00000000">
      <w:r>
        <w:br w:type="page"/>
      </w:r>
    </w:p>
    <w:p w14:paraId="52C21B56" w14:textId="77777777" w:rsidR="00F63DB9" w:rsidRDefault="00000000">
      <w:pPr>
        <w:pStyle w:val="Heading1"/>
      </w:pPr>
      <w:r>
        <w:lastRenderedPageBreak/>
        <w:t>Appendix B: Glossary</w:t>
      </w:r>
    </w:p>
    <w:p w14:paraId="7B9FA4F4" w14:textId="77777777" w:rsidR="00F63DB9" w:rsidRDefault="00000000">
      <w:pPr>
        <w:spacing w:before="120" w:after="40"/>
      </w:pPr>
      <w:r>
        <w:rPr>
          <w:b/>
          <w:bCs/>
          <w:color w:val="0A1628"/>
        </w:rPr>
        <w:t>AMM</w:t>
      </w:r>
    </w:p>
    <w:p w14:paraId="3688285E" w14:textId="77777777" w:rsidR="00F63DB9" w:rsidRDefault="00000000">
      <w:pPr>
        <w:spacing w:after="60"/>
        <w:ind w:left="360"/>
      </w:pPr>
      <w:r>
        <w:t>Automated Market Maker. A decentralized exchange mechanism that uses algorithmic pricing rather than traditional order books.</w:t>
      </w:r>
    </w:p>
    <w:p w14:paraId="20815E37" w14:textId="77777777" w:rsidR="00F63DB9" w:rsidRDefault="00000000">
      <w:pPr>
        <w:spacing w:before="120" w:after="40"/>
      </w:pPr>
      <w:r>
        <w:rPr>
          <w:b/>
          <w:bCs/>
          <w:color w:val="0A1628"/>
        </w:rPr>
        <w:t>Collateral Factor</w:t>
      </w:r>
    </w:p>
    <w:p w14:paraId="1E082313" w14:textId="77777777" w:rsidR="00F63DB9" w:rsidRDefault="00000000">
      <w:pPr>
        <w:spacing w:after="60"/>
        <w:ind w:left="360"/>
      </w:pPr>
      <w:r>
        <w:t>The percentage of a collateral asset's value that can be borrowed against in a DeFi lending protocol.</w:t>
      </w:r>
    </w:p>
    <w:p w14:paraId="39364122" w14:textId="77777777" w:rsidR="00F63DB9" w:rsidRDefault="00000000">
      <w:pPr>
        <w:spacing w:before="120" w:after="40"/>
      </w:pPr>
      <w:r>
        <w:rPr>
          <w:b/>
          <w:bCs/>
          <w:color w:val="0A1628"/>
        </w:rPr>
        <w:t>DeFi</w:t>
      </w:r>
    </w:p>
    <w:p w14:paraId="716D75CA" w14:textId="77777777" w:rsidR="00F63DB9" w:rsidRDefault="00000000">
      <w:pPr>
        <w:spacing w:after="60"/>
        <w:ind w:left="360"/>
      </w:pPr>
      <w:r>
        <w:t>Decentralized Finance. Financial services built on blockchain infrastructure, operating via smart contracts without traditional intermediaries.</w:t>
      </w:r>
    </w:p>
    <w:p w14:paraId="0F4CA851" w14:textId="77777777" w:rsidR="00F63DB9" w:rsidRDefault="00000000">
      <w:pPr>
        <w:spacing w:before="120" w:after="40"/>
      </w:pPr>
      <w:r>
        <w:rPr>
          <w:b/>
          <w:bCs/>
          <w:color w:val="0A1628"/>
        </w:rPr>
        <w:t>DEX</w:t>
      </w:r>
    </w:p>
    <w:p w14:paraId="0AE1EE7D" w14:textId="77777777" w:rsidR="00F63DB9" w:rsidRDefault="00000000">
      <w:pPr>
        <w:spacing w:after="60"/>
        <w:ind w:left="360"/>
      </w:pPr>
      <w:r>
        <w:t>Decentralized Exchange. A permissionless trading venue operating via smart contracts on a blockchain.</w:t>
      </w:r>
    </w:p>
    <w:p w14:paraId="1886FAB1" w14:textId="77777777" w:rsidR="00F63DB9" w:rsidRDefault="00000000">
      <w:pPr>
        <w:spacing w:before="120" w:after="40"/>
      </w:pPr>
      <w:r>
        <w:rPr>
          <w:b/>
          <w:bCs/>
          <w:color w:val="0A1628"/>
        </w:rPr>
        <w:t>Gate Provision</w:t>
      </w:r>
    </w:p>
    <w:p w14:paraId="0D4C2482" w14:textId="77777777" w:rsidR="00F63DB9" w:rsidRDefault="00000000">
      <w:pPr>
        <w:spacing w:after="60"/>
        <w:ind w:left="360"/>
      </w:pPr>
      <w:r>
        <w:t>A contractual right allowing an issuer to temporarily suspend or limit redemptions.</w:t>
      </w:r>
    </w:p>
    <w:p w14:paraId="3D21384A" w14:textId="77777777" w:rsidR="00F63DB9" w:rsidRDefault="00000000">
      <w:pPr>
        <w:spacing w:before="120" w:after="40"/>
      </w:pPr>
      <w:r>
        <w:rPr>
          <w:b/>
          <w:bCs/>
          <w:color w:val="0A1628"/>
        </w:rPr>
        <w:t>LCR</w:t>
      </w:r>
    </w:p>
    <w:p w14:paraId="3E79370A" w14:textId="77777777" w:rsidR="00F63DB9" w:rsidRDefault="00000000">
      <w:pPr>
        <w:spacing w:after="60"/>
        <w:ind w:left="360"/>
      </w:pPr>
      <w:r>
        <w:t>Liquidity Coverage Ratio. A Basel III regulatory requirement for banks to hold sufficient liquid assets to cover 30 days of net cash outflows under stress.</w:t>
      </w:r>
    </w:p>
    <w:p w14:paraId="4B415166" w14:textId="77777777" w:rsidR="00F63DB9" w:rsidRDefault="00000000">
      <w:pPr>
        <w:spacing w:before="120" w:after="40"/>
      </w:pPr>
      <w:r>
        <w:rPr>
          <w:b/>
          <w:bCs/>
          <w:color w:val="0A1628"/>
        </w:rPr>
        <w:t>LTV</w:t>
      </w:r>
    </w:p>
    <w:p w14:paraId="23DC9CEF" w14:textId="77777777" w:rsidR="00F63DB9" w:rsidRDefault="00000000">
      <w:pPr>
        <w:spacing w:after="60"/>
        <w:ind w:left="360"/>
      </w:pPr>
      <w:r>
        <w:t xml:space="preserve">Loan-to-Value ratio. The ratio of the loan </w:t>
      </w:r>
      <w:proofErr w:type="gramStart"/>
      <w:r>
        <w:t>amount</w:t>
      </w:r>
      <w:proofErr w:type="gramEnd"/>
      <w:r>
        <w:t xml:space="preserve"> to the collateral value in a lending arrangement.</w:t>
      </w:r>
    </w:p>
    <w:p w14:paraId="617D3F5C" w14:textId="77777777" w:rsidR="00F63DB9" w:rsidRDefault="00000000">
      <w:pPr>
        <w:spacing w:before="120" w:after="40"/>
      </w:pPr>
      <w:proofErr w:type="spellStart"/>
      <w:r>
        <w:rPr>
          <w:b/>
          <w:bCs/>
          <w:color w:val="0A1628"/>
        </w:rPr>
        <w:t>MiCA</w:t>
      </w:r>
      <w:proofErr w:type="spellEnd"/>
    </w:p>
    <w:p w14:paraId="1CF491A7" w14:textId="77777777" w:rsidR="00F63DB9" w:rsidRDefault="00000000">
      <w:pPr>
        <w:spacing w:after="60"/>
        <w:ind w:left="360"/>
      </w:pPr>
      <w:r>
        <w:t>Markets in Crypto-Assets Regulation. The European Union's comprehensive regulatory framework for crypto-asset issuers and service providers.</w:t>
      </w:r>
    </w:p>
    <w:p w14:paraId="6D84765A" w14:textId="77777777" w:rsidR="00F63DB9" w:rsidRDefault="00000000">
      <w:pPr>
        <w:spacing w:before="120" w:after="40"/>
      </w:pPr>
      <w:r>
        <w:rPr>
          <w:b/>
          <w:bCs/>
          <w:color w:val="0A1628"/>
        </w:rPr>
        <w:t>NAV</w:t>
      </w:r>
    </w:p>
    <w:p w14:paraId="0DBD4DDD" w14:textId="77777777" w:rsidR="00F63DB9" w:rsidRDefault="00000000">
      <w:pPr>
        <w:spacing w:after="60"/>
        <w:ind w:left="360"/>
      </w:pPr>
      <w:r>
        <w:t>Net Asset Value. The per-token value of a fund or pooled investment, calculated as total assets minus total liabilities divided by tokens outstanding.</w:t>
      </w:r>
    </w:p>
    <w:p w14:paraId="3260D1CE" w14:textId="77777777" w:rsidR="00F63DB9" w:rsidRDefault="00000000">
      <w:pPr>
        <w:spacing w:before="120" w:after="40"/>
      </w:pPr>
      <w:r>
        <w:rPr>
          <w:b/>
          <w:bCs/>
          <w:color w:val="0A1628"/>
        </w:rPr>
        <w:t>OTC</w:t>
      </w:r>
    </w:p>
    <w:p w14:paraId="475DA05B" w14:textId="77777777" w:rsidR="00F63DB9" w:rsidRDefault="00000000">
      <w:pPr>
        <w:spacing w:after="60"/>
        <w:ind w:left="360"/>
      </w:pPr>
      <w:proofErr w:type="gramStart"/>
      <w:r>
        <w:t>Over-the-Counter</w:t>
      </w:r>
      <w:proofErr w:type="gramEnd"/>
      <w:r>
        <w:t>. Bilateral trading between two parties outside of a formal exchange.</w:t>
      </w:r>
    </w:p>
    <w:p w14:paraId="6DDD98B3" w14:textId="77777777" w:rsidR="00F63DB9" w:rsidRDefault="00000000">
      <w:pPr>
        <w:spacing w:before="120" w:after="40"/>
      </w:pPr>
      <w:r>
        <w:rPr>
          <w:b/>
          <w:bCs/>
          <w:color w:val="0A1628"/>
        </w:rPr>
        <w:t>PT</w:t>
      </w:r>
    </w:p>
    <w:p w14:paraId="6937FC77" w14:textId="77777777" w:rsidR="00F63DB9" w:rsidRDefault="00000000">
      <w:pPr>
        <w:spacing w:after="60"/>
        <w:ind w:left="360"/>
      </w:pPr>
      <w:r>
        <w:t xml:space="preserve">Principal Token. In yield-splitting protocols like Pendle, the token </w:t>
      </w:r>
      <w:proofErr w:type="gramStart"/>
      <w:r>
        <w:t>representing</w:t>
      </w:r>
      <w:proofErr w:type="gramEnd"/>
      <w:r>
        <w:t xml:space="preserve"> the right to receive the principal amount of a yield-bearing asset at maturity.</w:t>
      </w:r>
    </w:p>
    <w:p w14:paraId="23DD61BC" w14:textId="77777777" w:rsidR="00F63DB9" w:rsidRDefault="00000000">
      <w:pPr>
        <w:spacing w:before="120" w:after="40"/>
      </w:pPr>
      <w:r>
        <w:rPr>
          <w:b/>
          <w:bCs/>
          <w:color w:val="0A1628"/>
        </w:rPr>
        <w:t>RFQ</w:t>
      </w:r>
    </w:p>
    <w:p w14:paraId="7EFB307A" w14:textId="77777777" w:rsidR="00F63DB9" w:rsidRDefault="00000000">
      <w:pPr>
        <w:spacing w:after="60"/>
        <w:ind w:left="360"/>
      </w:pPr>
      <w:r>
        <w:t>Request for Quote. A market mechanism where a potential seller requests bids from multiple potential buyers.</w:t>
      </w:r>
    </w:p>
    <w:p w14:paraId="057FA798" w14:textId="77777777" w:rsidR="00F63DB9" w:rsidRDefault="00000000">
      <w:pPr>
        <w:spacing w:before="120" w:after="40"/>
      </w:pPr>
      <w:r>
        <w:rPr>
          <w:b/>
          <w:bCs/>
          <w:color w:val="0A1628"/>
        </w:rPr>
        <w:t>RWA</w:t>
      </w:r>
    </w:p>
    <w:p w14:paraId="0D4D1BA8" w14:textId="77777777" w:rsidR="00F63DB9" w:rsidRDefault="00000000">
      <w:pPr>
        <w:spacing w:after="60"/>
        <w:ind w:left="360"/>
      </w:pPr>
      <w:r>
        <w:t>Real-World Asset. A physical or off-chain financial asset that has been tokenized on a blockchain.</w:t>
      </w:r>
    </w:p>
    <w:p w14:paraId="622AC0AA" w14:textId="77777777" w:rsidR="00F63DB9" w:rsidRDefault="00000000">
      <w:pPr>
        <w:spacing w:before="120" w:after="40"/>
      </w:pPr>
      <w:r>
        <w:rPr>
          <w:b/>
          <w:bCs/>
          <w:color w:val="0A1628"/>
        </w:rPr>
        <w:t>RWALS</w:t>
      </w:r>
    </w:p>
    <w:p w14:paraId="1D2E2249" w14:textId="77777777" w:rsidR="00F63DB9" w:rsidRDefault="00000000">
      <w:pPr>
        <w:spacing w:after="60"/>
        <w:ind w:left="360"/>
      </w:pPr>
      <w:r>
        <w:t xml:space="preserve">RWA Liquidity Score. The scoring framework </w:t>
      </w:r>
      <w:proofErr w:type="gramStart"/>
      <w:r>
        <w:t>introduced</w:t>
      </w:r>
      <w:proofErr w:type="gramEnd"/>
      <w:r>
        <w:t xml:space="preserve"> in this white paper.</w:t>
      </w:r>
    </w:p>
    <w:p w14:paraId="0DE60CE9" w14:textId="77777777" w:rsidR="00F63DB9" w:rsidRDefault="00000000">
      <w:pPr>
        <w:spacing w:before="120" w:after="40"/>
      </w:pPr>
      <w:r>
        <w:rPr>
          <w:b/>
          <w:bCs/>
          <w:color w:val="0A1628"/>
        </w:rPr>
        <w:lastRenderedPageBreak/>
        <w:t>SBT</w:t>
      </w:r>
    </w:p>
    <w:p w14:paraId="4D89F792" w14:textId="77777777" w:rsidR="00F63DB9" w:rsidRDefault="00000000">
      <w:pPr>
        <w:spacing w:after="60"/>
        <w:ind w:left="360"/>
      </w:pPr>
      <w:proofErr w:type="spellStart"/>
      <w:r>
        <w:t>Soulbound</w:t>
      </w:r>
      <w:proofErr w:type="spellEnd"/>
      <w:r>
        <w:t xml:space="preserve"> Token. A non-transferable blockchain token permanently associated with a specific wallet address.</w:t>
      </w:r>
    </w:p>
    <w:p w14:paraId="40EB8D55" w14:textId="77777777" w:rsidR="00F63DB9" w:rsidRDefault="00000000">
      <w:pPr>
        <w:spacing w:before="120" w:after="40"/>
      </w:pPr>
      <w:r>
        <w:rPr>
          <w:b/>
          <w:bCs/>
          <w:color w:val="0A1628"/>
        </w:rPr>
        <w:t>TRACE</w:t>
      </w:r>
    </w:p>
    <w:p w14:paraId="2799C1EF" w14:textId="77777777" w:rsidR="00F63DB9" w:rsidRDefault="00000000">
      <w:pPr>
        <w:spacing w:after="60"/>
        <w:ind w:left="360"/>
      </w:pPr>
      <w:r>
        <w:t>Trade Reporting and Compliance Engine. FINRA's mandatory bond trade reporting system, launched in 2002, which transformed bond market transparency.</w:t>
      </w:r>
    </w:p>
    <w:p w14:paraId="50B1AF50" w14:textId="77777777" w:rsidR="00F63DB9" w:rsidRDefault="00000000">
      <w:pPr>
        <w:spacing w:before="120" w:after="40"/>
      </w:pPr>
      <w:r>
        <w:rPr>
          <w:b/>
          <w:bCs/>
          <w:color w:val="0A1628"/>
        </w:rPr>
        <w:t>TVL</w:t>
      </w:r>
    </w:p>
    <w:p w14:paraId="4B9F6076" w14:textId="77777777" w:rsidR="00F63DB9" w:rsidRDefault="00000000">
      <w:pPr>
        <w:spacing w:after="60"/>
        <w:ind w:left="360"/>
      </w:pPr>
      <w:r>
        <w:t>Total Value Locked. The aggregate value of assets deposited in a protocol or asset category.</w:t>
      </w:r>
    </w:p>
    <w:p w14:paraId="3C4464E3" w14:textId="77777777" w:rsidR="00F63DB9" w:rsidRDefault="00000000">
      <w:pPr>
        <w:spacing w:before="120" w:after="40"/>
      </w:pPr>
      <w:r>
        <w:rPr>
          <w:b/>
          <w:bCs/>
          <w:color w:val="0A1628"/>
        </w:rPr>
        <w:t>YT</w:t>
      </w:r>
    </w:p>
    <w:p w14:paraId="26DF2006" w14:textId="77777777" w:rsidR="00F63DB9" w:rsidRDefault="00000000">
      <w:pPr>
        <w:spacing w:after="60"/>
        <w:ind w:left="360"/>
      </w:pPr>
      <w:r>
        <w:t xml:space="preserve">Yield Token. In yield-splitting protocols, the token </w:t>
      </w:r>
      <w:proofErr w:type="gramStart"/>
      <w:r>
        <w:t>representing</w:t>
      </w:r>
      <w:proofErr w:type="gramEnd"/>
      <w:r>
        <w:t xml:space="preserve"> the right to receive yield generated by an underlying asset over a specified period.</w:t>
      </w:r>
    </w:p>
    <w:p w14:paraId="58DC4B90" w14:textId="77777777" w:rsidR="00F63DB9" w:rsidRDefault="00000000">
      <w:r>
        <w:br w:type="page"/>
      </w:r>
    </w:p>
    <w:p w14:paraId="164BB4CC" w14:textId="77777777" w:rsidR="00F63DB9" w:rsidRDefault="00000000">
      <w:pPr>
        <w:pStyle w:val="Heading1"/>
      </w:pPr>
      <w:r>
        <w:lastRenderedPageBreak/>
        <w:t>Appendix C: References and Further Reading</w:t>
      </w:r>
    </w:p>
    <w:p w14:paraId="7163B5A5" w14:textId="77777777" w:rsidR="00F63DB9" w:rsidRDefault="00000000">
      <w:pPr>
        <w:pStyle w:val="Heading2"/>
        <w:pBdr>
          <w:bottom w:val="single" w:sz="4" w:space="4" w:color="CBD5E1"/>
        </w:pBdr>
      </w:pPr>
      <w:r>
        <w:t>Academic References</w:t>
      </w:r>
    </w:p>
    <w:p w14:paraId="193C7C58" w14:textId="77777777" w:rsidR="00F63DB9" w:rsidRDefault="00000000">
      <w:pPr>
        <w:pStyle w:val="ListParagraph"/>
        <w:numPr>
          <w:ilvl w:val="0"/>
          <w:numId w:val="3"/>
        </w:numPr>
        <w:spacing w:before="60" w:after="60" w:line="300" w:lineRule="auto"/>
      </w:pPr>
      <w:r>
        <w:rPr>
          <w:sz w:val="20"/>
          <w:szCs w:val="20"/>
        </w:rPr>
        <w:t>Amihud, Y. (2002). "Illiquidity and stock returns: cross-section and time-series effects." Journal of Financial Markets, 5(1), 31-56.</w:t>
      </w:r>
    </w:p>
    <w:p w14:paraId="407B0A1F" w14:textId="77777777" w:rsidR="00F63DB9" w:rsidRDefault="00000000">
      <w:pPr>
        <w:pStyle w:val="ListParagraph"/>
        <w:numPr>
          <w:ilvl w:val="0"/>
          <w:numId w:val="3"/>
        </w:numPr>
        <w:spacing w:before="60" w:after="60" w:line="300" w:lineRule="auto"/>
      </w:pPr>
      <w:r>
        <w:rPr>
          <w:sz w:val="20"/>
          <w:szCs w:val="20"/>
        </w:rPr>
        <w:t>Akerlof, G.A. (1970). "The Market for Lemons: Quality Uncertainty and the Market Mechanism." Quarterly Journal of Economics, 84(3), 488-500.</w:t>
      </w:r>
    </w:p>
    <w:p w14:paraId="4B400C0C" w14:textId="77777777" w:rsidR="00F63DB9" w:rsidRDefault="00000000">
      <w:pPr>
        <w:pStyle w:val="ListParagraph"/>
        <w:numPr>
          <w:ilvl w:val="0"/>
          <w:numId w:val="3"/>
        </w:numPr>
        <w:spacing w:before="60" w:after="60" w:line="300" w:lineRule="auto"/>
      </w:pPr>
      <w:proofErr w:type="spellStart"/>
      <w:r>
        <w:rPr>
          <w:sz w:val="20"/>
          <w:szCs w:val="20"/>
        </w:rPr>
        <w:t>Bessembinder</w:t>
      </w:r>
      <w:proofErr w:type="spellEnd"/>
      <w:r>
        <w:rPr>
          <w:sz w:val="20"/>
          <w:szCs w:val="20"/>
        </w:rPr>
        <w:t>, H., Maxwell, W., &amp; Venkataraman, K. (2006). "Market transparency, liquidity externalities, and institutional trading costs in corporate bonds." Journal of Financial Economics, 82(2), 251-288.</w:t>
      </w:r>
    </w:p>
    <w:p w14:paraId="731AF874" w14:textId="77777777" w:rsidR="00F63DB9" w:rsidRDefault="00000000">
      <w:pPr>
        <w:pStyle w:val="ListParagraph"/>
        <w:numPr>
          <w:ilvl w:val="0"/>
          <w:numId w:val="3"/>
        </w:numPr>
        <w:spacing w:before="60" w:after="60" w:line="300" w:lineRule="auto"/>
      </w:pPr>
      <w:r>
        <w:rPr>
          <w:sz w:val="20"/>
          <w:szCs w:val="20"/>
        </w:rPr>
        <w:t>Goldstein, M.A., Hotchkiss, E.S., &amp; Sirri, E.R. (2007). "Transparency and Liquidity: A Controlled Experiment on Corporate Bonds." Review of Financial Studies, 20(2), 235-273.</w:t>
      </w:r>
    </w:p>
    <w:p w14:paraId="6CBA8102" w14:textId="77777777" w:rsidR="00F63DB9" w:rsidRDefault="00000000">
      <w:pPr>
        <w:pStyle w:val="ListParagraph"/>
        <w:numPr>
          <w:ilvl w:val="0"/>
          <w:numId w:val="3"/>
        </w:numPr>
        <w:spacing w:before="60" w:after="60" w:line="300" w:lineRule="auto"/>
      </w:pPr>
      <w:r>
        <w:rPr>
          <w:sz w:val="20"/>
          <w:szCs w:val="20"/>
        </w:rPr>
        <w:t>Nadler, D., &amp; Schachter, J. (2025). "Secondary Market Liquidity in Tokenized Real-World Assets: An Empirical Assessment." Working Paper.</w:t>
      </w:r>
    </w:p>
    <w:p w14:paraId="49F42821" w14:textId="77777777" w:rsidR="00F63DB9" w:rsidRDefault="00000000">
      <w:pPr>
        <w:pStyle w:val="ListParagraph"/>
        <w:numPr>
          <w:ilvl w:val="0"/>
          <w:numId w:val="3"/>
        </w:numPr>
        <w:spacing w:before="60" w:after="60" w:line="300" w:lineRule="auto"/>
      </w:pPr>
      <w:r>
        <w:rPr>
          <w:sz w:val="20"/>
          <w:szCs w:val="20"/>
        </w:rPr>
        <w:t>Bank for International Settlements. (2023). "</w:t>
      </w:r>
      <w:proofErr w:type="spellStart"/>
      <w:r>
        <w:rPr>
          <w:sz w:val="20"/>
          <w:szCs w:val="20"/>
        </w:rPr>
        <w:t>Tokenisation</w:t>
      </w:r>
      <w:proofErr w:type="spellEnd"/>
      <w:r>
        <w:rPr>
          <w:sz w:val="20"/>
          <w:szCs w:val="20"/>
        </w:rPr>
        <w:t xml:space="preserve"> in the context of money and other assets: concepts and implications for central banks." BIS Papers No. 137.</w:t>
      </w:r>
    </w:p>
    <w:p w14:paraId="36B46450" w14:textId="77777777" w:rsidR="00F63DB9" w:rsidRDefault="00000000">
      <w:pPr>
        <w:pStyle w:val="ListParagraph"/>
        <w:numPr>
          <w:ilvl w:val="0"/>
          <w:numId w:val="3"/>
        </w:numPr>
        <w:spacing w:before="60" w:after="60" w:line="300" w:lineRule="auto"/>
      </w:pPr>
      <w:r>
        <w:rPr>
          <w:sz w:val="20"/>
          <w:szCs w:val="20"/>
        </w:rPr>
        <w:t>Financial Stability Board. (2024). "Global Monitoring Report on Non-Bank Financial Intermediation 2024." FSB Publication.</w:t>
      </w:r>
    </w:p>
    <w:p w14:paraId="4179213C" w14:textId="77777777" w:rsidR="00F63DB9" w:rsidRDefault="00000000">
      <w:pPr>
        <w:spacing w:after="120" w:line="276" w:lineRule="auto"/>
      </w:pPr>
      <w:r>
        <w:rPr>
          <w:sz w:val="24"/>
          <w:szCs w:val="24"/>
        </w:rPr>
        <w:t xml:space="preserve"> </w:t>
      </w:r>
    </w:p>
    <w:p w14:paraId="5EFCE245" w14:textId="77777777" w:rsidR="00F63DB9" w:rsidRDefault="00000000">
      <w:pPr>
        <w:pStyle w:val="Heading2"/>
        <w:pBdr>
          <w:bottom w:val="single" w:sz="4" w:space="4" w:color="CBD5E1"/>
        </w:pBdr>
      </w:pPr>
      <w:r>
        <w:t>Industry Reports and Data Sources</w:t>
      </w:r>
    </w:p>
    <w:p w14:paraId="26816B5A" w14:textId="77777777" w:rsidR="00F63DB9" w:rsidRDefault="00000000">
      <w:pPr>
        <w:pStyle w:val="ListParagraph"/>
        <w:numPr>
          <w:ilvl w:val="0"/>
          <w:numId w:val="3"/>
        </w:numPr>
        <w:spacing w:before="60" w:after="60" w:line="300" w:lineRule="auto"/>
      </w:pPr>
      <w:proofErr w:type="spellStart"/>
      <w:r>
        <w:rPr>
          <w:sz w:val="20"/>
          <w:szCs w:val="20"/>
        </w:rPr>
        <w:t>RWA.xyz</w:t>
      </w:r>
      <w:proofErr w:type="spellEnd"/>
      <w:r>
        <w:rPr>
          <w:sz w:val="20"/>
          <w:szCs w:val="20"/>
        </w:rPr>
        <w:t xml:space="preserve">. (2025). "State of </w:t>
      </w:r>
      <w:proofErr w:type="gramStart"/>
      <w:r>
        <w:rPr>
          <w:sz w:val="20"/>
          <w:szCs w:val="20"/>
        </w:rPr>
        <w:t>Real World</w:t>
      </w:r>
      <w:proofErr w:type="gramEnd"/>
      <w:r>
        <w:rPr>
          <w:sz w:val="20"/>
          <w:szCs w:val="20"/>
        </w:rPr>
        <w:t xml:space="preserve"> Assets on-chain Q1 2025." </w:t>
      </w:r>
      <w:proofErr w:type="spellStart"/>
      <w:r>
        <w:rPr>
          <w:sz w:val="20"/>
          <w:szCs w:val="20"/>
        </w:rPr>
        <w:t>rwa.xyz</w:t>
      </w:r>
      <w:proofErr w:type="spellEnd"/>
      <w:r>
        <w:rPr>
          <w:sz w:val="20"/>
          <w:szCs w:val="20"/>
        </w:rPr>
        <w:t>/research.</w:t>
      </w:r>
    </w:p>
    <w:p w14:paraId="4E001FF4" w14:textId="77777777" w:rsidR="00F63DB9" w:rsidRDefault="00000000">
      <w:pPr>
        <w:pStyle w:val="ListParagraph"/>
        <w:numPr>
          <w:ilvl w:val="0"/>
          <w:numId w:val="3"/>
        </w:numPr>
        <w:spacing w:before="60" w:after="60" w:line="300" w:lineRule="auto"/>
      </w:pPr>
      <w:r>
        <w:rPr>
          <w:sz w:val="20"/>
          <w:szCs w:val="20"/>
        </w:rPr>
        <w:t>Tokenized Asset Coalition. (2024). "Tokenized Asset Coalition 2024 Industry Report." tacoalition.org.</w:t>
      </w:r>
    </w:p>
    <w:p w14:paraId="75D6BFAF" w14:textId="77777777" w:rsidR="00F63DB9" w:rsidRDefault="00000000">
      <w:pPr>
        <w:pStyle w:val="ListParagraph"/>
        <w:numPr>
          <w:ilvl w:val="0"/>
          <w:numId w:val="3"/>
        </w:numPr>
        <w:spacing w:before="60" w:after="60" w:line="300" w:lineRule="auto"/>
      </w:pPr>
      <w:r>
        <w:rPr>
          <w:sz w:val="20"/>
          <w:szCs w:val="20"/>
        </w:rPr>
        <w:t>BlackRock. (2024). "BlackRock USD Institutional Digital Liquidity Fund (BUIDL) Prospectus." Securitize Markets.</w:t>
      </w:r>
    </w:p>
    <w:p w14:paraId="4A8499EE" w14:textId="77777777" w:rsidR="00F63DB9" w:rsidRDefault="00000000">
      <w:pPr>
        <w:pStyle w:val="ListParagraph"/>
        <w:numPr>
          <w:ilvl w:val="0"/>
          <w:numId w:val="3"/>
        </w:numPr>
        <w:spacing w:before="60" w:after="60" w:line="300" w:lineRule="auto"/>
      </w:pPr>
      <w:r>
        <w:rPr>
          <w:sz w:val="20"/>
          <w:szCs w:val="20"/>
        </w:rPr>
        <w:t xml:space="preserve">Franklin Templeton. (2024). "Franklin </w:t>
      </w:r>
      <w:proofErr w:type="spellStart"/>
      <w:r>
        <w:rPr>
          <w:sz w:val="20"/>
          <w:szCs w:val="20"/>
        </w:rPr>
        <w:t>OnChain</w:t>
      </w:r>
      <w:proofErr w:type="spellEnd"/>
      <w:r>
        <w:rPr>
          <w:sz w:val="20"/>
          <w:szCs w:val="20"/>
        </w:rPr>
        <w:t xml:space="preserve"> US Government Money Fund (FOBXX) Overview." franklinon-chain.com.</w:t>
      </w:r>
    </w:p>
    <w:p w14:paraId="5C1214F4" w14:textId="77777777" w:rsidR="00F63DB9" w:rsidRDefault="00000000">
      <w:pPr>
        <w:pStyle w:val="ListParagraph"/>
        <w:numPr>
          <w:ilvl w:val="0"/>
          <w:numId w:val="3"/>
        </w:numPr>
        <w:spacing w:before="60" w:after="60" w:line="300" w:lineRule="auto"/>
      </w:pPr>
      <w:r>
        <w:rPr>
          <w:sz w:val="20"/>
          <w:szCs w:val="20"/>
        </w:rPr>
        <w:t xml:space="preserve">Ondo Finance. (2024). "OUSG and USDY Product Documentation." </w:t>
      </w:r>
      <w:proofErr w:type="spellStart"/>
      <w:proofErr w:type="gramStart"/>
      <w:r>
        <w:rPr>
          <w:sz w:val="20"/>
          <w:szCs w:val="20"/>
        </w:rPr>
        <w:t>ondo.finance</w:t>
      </w:r>
      <w:proofErr w:type="spellEnd"/>
      <w:proofErr w:type="gramEnd"/>
      <w:r>
        <w:rPr>
          <w:sz w:val="20"/>
          <w:szCs w:val="20"/>
        </w:rPr>
        <w:t>.</w:t>
      </w:r>
    </w:p>
    <w:p w14:paraId="3CBAB825" w14:textId="77777777" w:rsidR="00F63DB9" w:rsidRDefault="00000000">
      <w:pPr>
        <w:pStyle w:val="ListParagraph"/>
        <w:numPr>
          <w:ilvl w:val="0"/>
          <w:numId w:val="3"/>
        </w:numPr>
        <w:spacing w:before="60" w:after="60" w:line="300" w:lineRule="auto"/>
      </w:pPr>
      <w:r>
        <w:rPr>
          <w:sz w:val="20"/>
          <w:szCs w:val="20"/>
        </w:rPr>
        <w:t xml:space="preserve">Maple Finance. (2024). "Maple Finance Protocol Documentation v2." </w:t>
      </w:r>
      <w:proofErr w:type="spellStart"/>
      <w:proofErr w:type="gramStart"/>
      <w:r>
        <w:rPr>
          <w:sz w:val="20"/>
          <w:szCs w:val="20"/>
        </w:rPr>
        <w:t>maple.finance</w:t>
      </w:r>
      <w:proofErr w:type="spellEnd"/>
      <w:proofErr w:type="gramEnd"/>
      <w:r>
        <w:rPr>
          <w:sz w:val="20"/>
          <w:szCs w:val="20"/>
        </w:rPr>
        <w:t>.</w:t>
      </w:r>
    </w:p>
    <w:p w14:paraId="623745AC" w14:textId="77777777" w:rsidR="00F63DB9" w:rsidRDefault="00000000">
      <w:pPr>
        <w:pStyle w:val="ListParagraph"/>
        <w:numPr>
          <w:ilvl w:val="0"/>
          <w:numId w:val="3"/>
        </w:numPr>
        <w:spacing w:before="60" w:after="60" w:line="300" w:lineRule="auto"/>
      </w:pPr>
      <w:r>
        <w:rPr>
          <w:sz w:val="20"/>
          <w:szCs w:val="20"/>
        </w:rPr>
        <w:t>Centrifuge. (2024). "Centrifuge Protocol Documentation." centrifuge.io.</w:t>
      </w:r>
    </w:p>
    <w:p w14:paraId="7D78B657" w14:textId="77777777" w:rsidR="00F63DB9" w:rsidRDefault="00000000">
      <w:pPr>
        <w:pStyle w:val="ListParagraph"/>
        <w:numPr>
          <w:ilvl w:val="0"/>
          <w:numId w:val="3"/>
        </w:numPr>
        <w:spacing w:before="60" w:after="60" w:line="300" w:lineRule="auto"/>
      </w:pPr>
      <w:r>
        <w:rPr>
          <w:sz w:val="20"/>
          <w:szCs w:val="20"/>
        </w:rPr>
        <w:t>Morpho Labs. (2024). "Morpho Risk Framework: RWA Collateral Evaluation Methodology." morpho.org.</w:t>
      </w:r>
    </w:p>
    <w:sectPr w:rsidR="00F63DB9">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7222" w14:textId="77777777" w:rsidR="00CE63BF" w:rsidRDefault="00CE63BF">
      <w:r>
        <w:separator/>
      </w:r>
    </w:p>
  </w:endnote>
  <w:endnote w:type="continuationSeparator" w:id="0">
    <w:p w14:paraId="166E32F6" w14:textId="77777777" w:rsidR="00CE63BF" w:rsidRDefault="00CE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6196" w14:textId="77777777" w:rsidR="00F63DB9" w:rsidRDefault="00000000">
    <w:pPr>
      <w:pBdr>
        <w:top w:val="single" w:sz="4" w:space="4" w:color="CBD5E1"/>
      </w:pBdr>
      <w:spacing w:before="120"/>
      <w:jc w:val="center"/>
    </w:pPr>
    <w:r>
      <w:rPr>
        <w:color w:val="64748B"/>
        <w:sz w:val="16"/>
        <w:szCs w:val="16"/>
      </w:rPr>
      <w:t xml:space="preserve">CONFIDENTIAL DRAFT — For industry review and comment. Not investment advice.  </w:t>
    </w:r>
    <w:proofErr w:type="gramStart"/>
    <w:r>
      <w:rPr>
        <w:color w:val="64748B"/>
        <w:sz w:val="16"/>
        <w:szCs w:val="16"/>
      </w:rPr>
      <w:t>|  Page</w:t>
    </w:r>
    <w:proofErr w:type="gramEnd"/>
    <w:r>
      <w:rPr>
        <w:color w:val="64748B"/>
        <w:sz w:val="16"/>
        <w:szCs w:val="16"/>
      </w:rPr>
      <w:t xml:space="preserve"> </w:t>
    </w:r>
    <w:r>
      <w:fldChar w:fldCharType="begin"/>
    </w:r>
    <w:r>
      <w:instrText>PAGE</w:instrText>
    </w:r>
    <w:r>
      <w:fldChar w:fldCharType="separate"/>
    </w:r>
    <w:r w:rsidR="00A20D0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01AF" w14:textId="77777777" w:rsidR="00CE63BF" w:rsidRDefault="00CE63BF">
      <w:r>
        <w:separator/>
      </w:r>
    </w:p>
  </w:footnote>
  <w:footnote w:type="continuationSeparator" w:id="0">
    <w:p w14:paraId="3686C28E" w14:textId="77777777" w:rsidR="00CE63BF" w:rsidRDefault="00CE6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ACE4" w14:textId="77777777" w:rsidR="00F63DB9" w:rsidRDefault="00000000">
    <w:pPr>
      <w:pBdr>
        <w:bottom w:val="single" w:sz="4" w:space="4" w:color="CBD5E1"/>
      </w:pBdr>
      <w:spacing w:after="120"/>
      <w:jc w:val="right"/>
    </w:pPr>
    <w:r>
      <w:rPr>
        <w:b/>
        <w:bCs/>
        <w:color w:val="0A1628"/>
        <w:sz w:val="18"/>
        <w:szCs w:val="18"/>
      </w:rPr>
      <w:t>RWALS</w:t>
    </w:r>
    <w:r>
      <w:rPr>
        <w:color w:val="64748B"/>
        <w:sz w:val="18"/>
        <w:szCs w:val="18"/>
      </w:rPr>
      <w:t xml:space="preserve"> — RWA Liquidity Score</w:t>
    </w:r>
    <w:proofErr w:type="gramStart"/>
    <w:r>
      <w:rPr>
        <w:color w:val="64748B"/>
        <w:sz w:val="18"/>
        <w:szCs w:val="18"/>
      </w:rPr>
      <w:t>™  |</w:t>
    </w:r>
    <w:proofErr w:type="gramEnd"/>
    <w:r>
      <w:rPr>
        <w:color w:val="64748B"/>
        <w:sz w:val="18"/>
        <w:szCs w:val="18"/>
      </w:rPr>
      <w:t xml:space="preserve">  Version </w:t>
    </w:r>
    <w:proofErr w:type="gramStart"/>
    <w:r>
      <w:rPr>
        <w:color w:val="64748B"/>
        <w:sz w:val="18"/>
        <w:szCs w:val="18"/>
      </w:rPr>
      <w:t>1.0  |</w:t>
    </w:r>
    <w:proofErr w:type="gramEnd"/>
    <w:r>
      <w:rPr>
        <w:color w:val="64748B"/>
        <w:sz w:val="18"/>
        <w:szCs w:val="18"/>
      </w:rPr>
      <w:t xml:space="preserve">  May </w:t>
    </w:r>
    <w:proofErr w:type="gramStart"/>
    <w:r>
      <w:rPr>
        <w:color w:val="64748B"/>
        <w:sz w:val="18"/>
        <w:szCs w:val="18"/>
      </w:rPr>
      <w:t>2025  |</w:t>
    </w:r>
    <w:proofErr w:type="gramEnd"/>
    <w:r>
      <w:rPr>
        <w:color w:val="64748B"/>
        <w:sz w:val="18"/>
        <w:szCs w:val="18"/>
      </w:rPr>
      <w:t xml:space="preserve">  rwals.io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958CE"/>
    <w:multiLevelType w:val="hybridMultilevel"/>
    <w:tmpl w:val="1D7A1A22"/>
    <w:lvl w:ilvl="0" w:tplc="02DAB6F0">
      <w:start w:val="1"/>
      <w:numFmt w:val="decimal"/>
      <w:lvlText w:val="%1."/>
      <w:lvlJc w:val="left"/>
      <w:pPr>
        <w:ind w:left="720" w:hanging="360"/>
      </w:pPr>
    </w:lvl>
    <w:lvl w:ilvl="1" w:tplc="B54A79E8">
      <w:numFmt w:val="decimal"/>
      <w:lvlText w:val=""/>
      <w:lvlJc w:val="left"/>
    </w:lvl>
    <w:lvl w:ilvl="2" w:tplc="532402F6">
      <w:numFmt w:val="decimal"/>
      <w:lvlText w:val=""/>
      <w:lvlJc w:val="left"/>
    </w:lvl>
    <w:lvl w:ilvl="3" w:tplc="EDCAE59C">
      <w:numFmt w:val="decimal"/>
      <w:lvlText w:val=""/>
      <w:lvlJc w:val="left"/>
    </w:lvl>
    <w:lvl w:ilvl="4" w:tplc="4226320C">
      <w:numFmt w:val="decimal"/>
      <w:lvlText w:val=""/>
      <w:lvlJc w:val="left"/>
    </w:lvl>
    <w:lvl w:ilvl="5" w:tplc="582AA8E6">
      <w:numFmt w:val="decimal"/>
      <w:lvlText w:val=""/>
      <w:lvlJc w:val="left"/>
    </w:lvl>
    <w:lvl w:ilvl="6" w:tplc="11C2B782">
      <w:numFmt w:val="decimal"/>
      <w:lvlText w:val=""/>
      <w:lvlJc w:val="left"/>
    </w:lvl>
    <w:lvl w:ilvl="7" w:tplc="78BAF80E">
      <w:numFmt w:val="decimal"/>
      <w:lvlText w:val=""/>
      <w:lvlJc w:val="left"/>
    </w:lvl>
    <w:lvl w:ilvl="8" w:tplc="F1C01282">
      <w:numFmt w:val="decimal"/>
      <w:lvlText w:val=""/>
      <w:lvlJc w:val="left"/>
    </w:lvl>
  </w:abstractNum>
  <w:abstractNum w:abstractNumId="1" w15:restartNumberingAfterBreak="0">
    <w:nsid w:val="573852D3"/>
    <w:multiLevelType w:val="hybridMultilevel"/>
    <w:tmpl w:val="68CCCF02"/>
    <w:lvl w:ilvl="0" w:tplc="1150A3A2">
      <w:start w:val="1"/>
      <w:numFmt w:val="bullet"/>
      <w:lvlText w:val="●"/>
      <w:lvlJc w:val="left"/>
      <w:pPr>
        <w:ind w:left="720" w:hanging="360"/>
      </w:pPr>
    </w:lvl>
    <w:lvl w:ilvl="1" w:tplc="E8E0772C">
      <w:start w:val="1"/>
      <w:numFmt w:val="bullet"/>
      <w:lvlText w:val="○"/>
      <w:lvlJc w:val="left"/>
      <w:pPr>
        <w:ind w:left="1440" w:hanging="360"/>
      </w:pPr>
    </w:lvl>
    <w:lvl w:ilvl="2" w:tplc="6060BD20">
      <w:start w:val="1"/>
      <w:numFmt w:val="bullet"/>
      <w:lvlText w:val="■"/>
      <w:lvlJc w:val="left"/>
      <w:pPr>
        <w:ind w:left="2160" w:hanging="360"/>
      </w:pPr>
    </w:lvl>
    <w:lvl w:ilvl="3" w:tplc="FA0E7546">
      <w:start w:val="1"/>
      <w:numFmt w:val="bullet"/>
      <w:lvlText w:val="●"/>
      <w:lvlJc w:val="left"/>
      <w:pPr>
        <w:ind w:left="2880" w:hanging="360"/>
      </w:pPr>
    </w:lvl>
    <w:lvl w:ilvl="4" w:tplc="91B8E950">
      <w:start w:val="1"/>
      <w:numFmt w:val="bullet"/>
      <w:lvlText w:val="○"/>
      <w:lvlJc w:val="left"/>
      <w:pPr>
        <w:ind w:left="3600" w:hanging="360"/>
      </w:pPr>
    </w:lvl>
    <w:lvl w:ilvl="5" w:tplc="3F60D3AC">
      <w:start w:val="1"/>
      <w:numFmt w:val="bullet"/>
      <w:lvlText w:val="■"/>
      <w:lvlJc w:val="left"/>
      <w:pPr>
        <w:ind w:left="4320" w:hanging="360"/>
      </w:pPr>
    </w:lvl>
    <w:lvl w:ilvl="6" w:tplc="04BAA6D6">
      <w:start w:val="1"/>
      <w:numFmt w:val="bullet"/>
      <w:lvlText w:val="●"/>
      <w:lvlJc w:val="left"/>
      <w:pPr>
        <w:ind w:left="5040" w:hanging="360"/>
      </w:pPr>
    </w:lvl>
    <w:lvl w:ilvl="7" w:tplc="D3ACF68A">
      <w:start w:val="1"/>
      <w:numFmt w:val="bullet"/>
      <w:lvlText w:val="●"/>
      <w:lvlJc w:val="left"/>
      <w:pPr>
        <w:ind w:left="5760" w:hanging="360"/>
      </w:pPr>
    </w:lvl>
    <w:lvl w:ilvl="8" w:tplc="D6A6237E">
      <w:start w:val="1"/>
      <w:numFmt w:val="bullet"/>
      <w:lvlText w:val="●"/>
      <w:lvlJc w:val="left"/>
      <w:pPr>
        <w:ind w:left="6480" w:hanging="360"/>
      </w:pPr>
    </w:lvl>
  </w:abstractNum>
  <w:abstractNum w:abstractNumId="2" w15:restartNumberingAfterBreak="0">
    <w:nsid w:val="73E90C2A"/>
    <w:multiLevelType w:val="hybridMultilevel"/>
    <w:tmpl w:val="C7DE4C48"/>
    <w:lvl w:ilvl="0" w:tplc="D36667FA">
      <w:start w:val="1"/>
      <w:numFmt w:val="bullet"/>
      <w:lvlText w:val="•"/>
      <w:lvlJc w:val="left"/>
      <w:pPr>
        <w:ind w:left="720" w:hanging="360"/>
      </w:pPr>
    </w:lvl>
    <w:lvl w:ilvl="1" w:tplc="7C344456">
      <w:start w:val="1"/>
      <w:numFmt w:val="bullet"/>
      <w:lvlText w:val="◦"/>
      <w:lvlJc w:val="left"/>
      <w:pPr>
        <w:ind w:left="1080" w:hanging="360"/>
      </w:pPr>
    </w:lvl>
    <w:lvl w:ilvl="2" w:tplc="F314EAB0">
      <w:numFmt w:val="decimal"/>
      <w:lvlText w:val=""/>
      <w:lvlJc w:val="left"/>
    </w:lvl>
    <w:lvl w:ilvl="3" w:tplc="FD94E072">
      <w:numFmt w:val="decimal"/>
      <w:lvlText w:val=""/>
      <w:lvlJc w:val="left"/>
    </w:lvl>
    <w:lvl w:ilvl="4" w:tplc="FAB0F0A0">
      <w:numFmt w:val="decimal"/>
      <w:lvlText w:val=""/>
      <w:lvlJc w:val="left"/>
    </w:lvl>
    <w:lvl w:ilvl="5" w:tplc="EA9E2C60">
      <w:numFmt w:val="decimal"/>
      <w:lvlText w:val=""/>
      <w:lvlJc w:val="left"/>
    </w:lvl>
    <w:lvl w:ilvl="6" w:tplc="A7364364">
      <w:numFmt w:val="decimal"/>
      <w:lvlText w:val=""/>
      <w:lvlJc w:val="left"/>
    </w:lvl>
    <w:lvl w:ilvl="7" w:tplc="D312DDBC">
      <w:numFmt w:val="decimal"/>
      <w:lvlText w:val=""/>
      <w:lvlJc w:val="left"/>
    </w:lvl>
    <w:lvl w:ilvl="8" w:tplc="EE74A250">
      <w:numFmt w:val="decimal"/>
      <w:lvlText w:val=""/>
      <w:lvlJc w:val="left"/>
    </w:lvl>
  </w:abstractNum>
  <w:num w:numId="1" w16cid:durableId="1760102310">
    <w:abstractNumId w:val="1"/>
    <w:lvlOverride w:ilvl="0">
      <w:startOverride w:val="1"/>
    </w:lvlOverride>
  </w:num>
  <w:num w:numId="2" w16cid:durableId="1040319560">
    <w:abstractNumId w:val="2"/>
    <w:lvlOverride w:ilvl="0">
      <w:startOverride w:val="1"/>
    </w:lvlOverride>
  </w:num>
  <w:num w:numId="3" w16cid:durableId="10890828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B9"/>
    <w:rsid w:val="002D09C4"/>
    <w:rsid w:val="00A20D0D"/>
    <w:rsid w:val="00BB287D"/>
    <w:rsid w:val="00CE63BF"/>
    <w:rsid w:val="00F6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660B"/>
  <w15:docId w15:val="{A4494227-5DDC-416E-B8AF-CF2E38E3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F172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color w:val="0A1628"/>
      <w:sz w:val="36"/>
      <w:szCs w:val="36"/>
    </w:rPr>
  </w:style>
  <w:style w:type="paragraph" w:styleId="Heading2">
    <w:name w:val="heading 2"/>
    <w:uiPriority w:val="9"/>
    <w:unhideWhenUsed/>
    <w:qFormat/>
    <w:pPr>
      <w:spacing w:before="360" w:after="180"/>
      <w:outlineLvl w:val="1"/>
    </w:pPr>
    <w:rPr>
      <w:b/>
      <w:bCs/>
      <w:color w:val="1A3A6B"/>
      <w:sz w:val="28"/>
      <w:szCs w:val="28"/>
    </w:rPr>
  </w:style>
  <w:style w:type="paragraph" w:styleId="Heading3">
    <w:name w:val="heading 3"/>
    <w:uiPriority w:val="9"/>
    <w:unhideWhenUsed/>
    <w:qFormat/>
    <w:pPr>
      <w:spacing w:before="240" w:after="120"/>
      <w:outlineLvl w:val="2"/>
    </w:pPr>
    <w:rPr>
      <w:b/>
      <w:bCs/>
      <w:color w:val="2563EB"/>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8461</Words>
  <Characters>35708</Characters>
  <Application>Microsoft Office Word</Application>
  <DocSecurity>0</DocSecurity>
  <Lines>939</Lines>
  <Paragraphs>1132</Paragraphs>
  <ScaleCrop>false</ScaleCrop>
  <Company/>
  <LinksUpToDate>false</LinksUpToDate>
  <CharactersWithSpaces>43037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michael camelio</cp:lastModifiedBy>
  <cp:revision>2</cp:revision>
  <dcterms:created xsi:type="dcterms:W3CDTF">2026-04-30T09:47:00Z</dcterms:created>
  <dcterms:modified xsi:type="dcterms:W3CDTF">2026-04-30T09:47:00Z</dcterms:modified>
</cp:coreProperties>
</file>